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5033"/>
      </w:tblGrid>
      <w:tr w:rsidR="00B85A64" w:rsidRPr="00B85A64" w:rsidTr="00BB1D7C">
        <w:trPr>
          <w:jc w:val="center"/>
        </w:trPr>
        <w:tc>
          <w:tcPr>
            <w:tcW w:w="4320" w:type="dxa"/>
          </w:tcPr>
          <w:p w:rsidR="00B85A64" w:rsidRPr="00B85A64" w:rsidRDefault="00B85A64" w:rsidP="00B85A64">
            <w:pPr>
              <w:widowControl w:val="0"/>
              <w:autoSpaceDE w:val="0"/>
              <w:autoSpaceDN w:val="0"/>
              <w:adjustRightInd w:val="0"/>
              <w:contextualSpacing/>
              <w:jc w:val="both"/>
              <w:rPr>
                <w:rFonts w:ascii="Times New Roman" w:eastAsia="SimSun" w:hAnsi="Times New Roman"/>
                <w:color w:val="000000"/>
                <w:sz w:val="24"/>
                <w:szCs w:val="28"/>
                <w:lang w:val="uk-UA" w:eastAsia="zh-CN"/>
              </w:rPr>
            </w:pPr>
            <w:r w:rsidRPr="00B85A64">
              <w:rPr>
                <w:rFonts w:ascii="Times New Roman" w:eastAsia="SimSun" w:hAnsi="Times New Roman"/>
                <w:b/>
                <w:bCs/>
                <w:sz w:val="28"/>
                <w:szCs w:val="28"/>
                <w:lang w:eastAsia="zh-CN"/>
              </w:rPr>
              <w:t>УДК  338.3+658.7</w:t>
            </w:r>
          </w:p>
        </w:tc>
        <w:tc>
          <w:tcPr>
            <w:tcW w:w="5247" w:type="dxa"/>
            <w:tcMar>
              <w:left w:w="0" w:type="dxa"/>
              <w:right w:w="0" w:type="dxa"/>
            </w:tcMar>
          </w:tcPr>
          <w:p w:rsidR="00B85A64" w:rsidRPr="00B85A64" w:rsidRDefault="00B85A64" w:rsidP="00B85A64">
            <w:pPr>
              <w:widowControl w:val="0"/>
              <w:shd w:val="clear" w:color="auto" w:fill="FFFFFF"/>
              <w:rPr>
                <w:rFonts w:ascii="Times New Roman" w:hAnsi="Times New Roman"/>
                <w:sz w:val="28"/>
                <w:szCs w:val="28"/>
              </w:rPr>
            </w:pPr>
          </w:p>
        </w:tc>
      </w:tr>
      <w:tr w:rsidR="00B85A64" w:rsidRPr="00B85A64" w:rsidTr="00BB1D7C">
        <w:trPr>
          <w:jc w:val="center"/>
        </w:trPr>
        <w:tc>
          <w:tcPr>
            <w:tcW w:w="4320" w:type="dxa"/>
          </w:tcPr>
          <w:p w:rsidR="00B85A64" w:rsidRPr="00B85A64" w:rsidRDefault="00B85A64" w:rsidP="00B85A64">
            <w:pPr>
              <w:widowControl w:val="0"/>
              <w:jc w:val="right"/>
              <w:rPr>
                <w:rFonts w:ascii="Times New Roman" w:hAnsi="Times New Roman"/>
                <w:sz w:val="28"/>
                <w:szCs w:val="28"/>
              </w:rPr>
            </w:pPr>
          </w:p>
        </w:tc>
        <w:tc>
          <w:tcPr>
            <w:tcW w:w="5247" w:type="dxa"/>
            <w:tcMar>
              <w:left w:w="0" w:type="dxa"/>
              <w:right w:w="0" w:type="dxa"/>
            </w:tcMar>
          </w:tcPr>
          <w:p w:rsidR="00B85A64" w:rsidRPr="00B85A64" w:rsidRDefault="00B85A64" w:rsidP="00B85A64">
            <w:pPr>
              <w:jc w:val="both"/>
              <w:rPr>
                <w:rFonts w:ascii="Times New Roman" w:hAnsi="Times New Roman"/>
                <w:sz w:val="28"/>
                <w:szCs w:val="24"/>
              </w:rPr>
            </w:pPr>
            <w:bookmarkStart w:id="0" w:name="_Toc518846464"/>
            <w:r w:rsidRPr="00B85A64">
              <w:rPr>
                <w:rFonts w:ascii="Times New Roman" w:hAnsi="Times New Roman"/>
                <w:b/>
                <w:bCs/>
                <w:sz w:val="28"/>
                <w:szCs w:val="28"/>
              </w:rPr>
              <w:t>О.А. Курносова</w:t>
            </w:r>
            <w:bookmarkEnd w:id="0"/>
            <w:r w:rsidRPr="00B85A64">
              <w:rPr>
                <w:rFonts w:ascii="Times New Roman" w:hAnsi="Times New Roman"/>
                <w:sz w:val="28"/>
                <w:szCs w:val="24"/>
              </w:rPr>
              <w:t xml:space="preserve">, </w:t>
            </w:r>
            <w:r w:rsidRPr="00B85A64">
              <w:rPr>
                <w:rFonts w:ascii="Times New Roman" w:hAnsi="Times New Roman"/>
                <w:i/>
                <w:sz w:val="28"/>
                <w:szCs w:val="24"/>
                <w:shd w:val="clear" w:color="auto" w:fill="FFFFFF"/>
              </w:rPr>
              <w:t>к.э.н., доц.</w:t>
            </w:r>
          </w:p>
          <w:p w:rsidR="00B85A64" w:rsidRPr="00B85A64" w:rsidRDefault="00B85A64" w:rsidP="00B85A64">
            <w:pPr>
              <w:widowControl w:val="0"/>
              <w:autoSpaceDE w:val="0"/>
              <w:autoSpaceDN w:val="0"/>
              <w:adjustRightInd w:val="0"/>
              <w:contextualSpacing/>
              <w:rPr>
                <w:rFonts w:ascii="Times New Roman" w:eastAsia="SimSun" w:hAnsi="Times New Roman"/>
                <w:i/>
                <w:sz w:val="28"/>
                <w:szCs w:val="28"/>
                <w:lang w:eastAsia="zh-CN"/>
              </w:rPr>
            </w:pPr>
            <w:r w:rsidRPr="00B85A64">
              <w:rPr>
                <w:rFonts w:ascii="Times New Roman" w:eastAsia="SimSun" w:hAnsi="Times New Roman"/>
                <w:i/>
                <w:sz w:val="28"/>
                <w:szCs w:val="28"/>
                <w:lang w:eastAsia="zh-CN"/>
              </w:rPr>
              <w:t>Автомобильно-дорожный институт</w:t>
            </w:r>
          </w:p>
          <w:p w:rsidR="00B85A64" w:rsidRPr="00B85A64" w:rsidRDefault="00B85A64" w:rsidP="00B85A64">
            <w:pPr>
              <w:widowControl w:val="0"/>
              <w:autoSpaceDE w:val="0"/>
              <w:autoSpaceDN w:val="0"/>
              <w:adjustRightInd w:val="0"/>
              <w:contextualSpacing/>
              <w:rPr>
                <w:rFonts w:ascii="Times New Roman" w:eastAsia="SimSun" w:hAnsi="Times New Roman"/>
                <w:i/>
                <w:sz w:val="28"/>
                <w:szCs w:val="28"/>
                <w:lang w:eastAsia="zh-CN"/>
              </w:rPr>
            </w:pPr>
            <w:r w:rsidRPr="00B85A64">
              <w:rPr>
                <w:rFonts w:ascii="Times New Roman" w:eastAsia="SimSun" w:hAnsi="Times New Roman"/>
                <w:i/>
                <w:sz w:val="28"/>
                <w:szCs w:val="28"/>
                <w:lang w:eastAsia="zh-CN"/>
              </w:rPr>
              <w:t>ГОУВПО «Донецкий национальный технический университет»</w:t>
            </w:r>
          </w:p>
          <w:p w:rsidR="00B85A64" w:rsidRPr="00B85A64" w:rsidRDefault="00B85A64" w:rsidP="00B85A64">
            <w:pPr>
              <w:widowControl w:val="0"/>
              <w:autoSpaceDE w:val="0"/>
              <w:autoSpaceDN w:val="0"/>
              <w:adjustRightInd w:val="0"/>
              <w:contextualSpacing/>
              <w:rPr>
                <w:rFonts w:ascii="Times New Roman" w:eastAsia="SimSun" w:hAnsi="Times New Roman"/>
                <w:i/>
                <w:sz w:val="28"/>
                <w:szCs w:val="28"/>
                <w:lang w:eastAsia="zh-CN"/>
              </w:rPr>
            </w:pPr>
            <w:r w:rsidRPr="00B85A64">
              <w:rPr>
                <w:rFonts w:ascii="Times New Roman" w:eastAsia="SimSun" w:hAnsi="Times New Roman"/>
                <w:i/>
                <w:sz w:val="28"/>
                <w:szCs w:val="28"/>
                <w:lang w:eastAsia="zh-CN"/>
              </w:rPr>
              <w:t>Горловка, Донецкая Народная Республика</w:t>
            </w:r>
          </w:p>
          <w:p w:rsidR="00B85A64" w:rsidRPr="00B85A64" w:rsidRDefault="00B85A64" w:rsidP="00B85A64">
            <w:pPr>
              <w:widowControl w:val="0"/>
              <w:autoSpaceDE w:val="0"/>
              <w:autoSpaceDN w:val="0"/>
              <w:adjustRightInd w:val="0"/>
              <w:contextualSpacing/>
              <w:rPr>
                <w:rFonts w:ascii="Times New Roman" w:eastAsia="SimSun" w:hAnsi="Times New Roman"/>
                <w:b/>
                <w:i/>
                <w:sz w:val="28"/>
                <w:szCs w:val="28"/>
                <w:lang w:eastAsia="zh-CN"/>
              </w:rPr>
            </w:pPr>
            <w:r w:rsidRPr="00B85A64">
              <w:rPr>
                <w:rFonts w:ascii="Times New Roman" w:eastAsia="SimSun" w:hAnsi="Times New Roman"/>
                <w:b/>
                <w:i/>
                <w:sz w:val="28"/>
                <w:szCs w:val="28"/>
                <w:lang w:eastAsia="zh-CN"/>
              </w:rPr>
              <w:t xml:space="preserve">O.A. Kurnosova </w:t>
            </w:r>
          </w:p>
          <w:p w:rsidR="00B85A64" w:rsidRPr="00B85A64" w:rsidRDefault="00B85A64" w:rsidP="00B85A64">
            <w:pPr>
              <w:widowControl w:val="0"/>
              <w:autoSpaceDE w:val="0"/>
              <w:autoSpaceDN w:val="0"/>
              <w:adjustRightInd w:val="0"/>
              <w:contextualSpacing/>
              <w:rPr>
                <w:rFonts w:ascii="Times New Roman" w:eastAsia="SimSun" w:hAnsi="Times New Roman"/>
                <w:i/>
                <w:sz w:val="28"/>
                <w:szCs w:val="28"/>
                <w:lang w:val="en-US" w:eastAsia="zh-CN"/>
              </w:rPr>
            </w:pPr>
            <w:r w:rsidRPr="00B85A64">
              <w:rPr>
                <w:rFonts w:ascii="Times New Roman" w:eastAsia="SimSun" w:hAnsi="Times New Roman"/>
                <w:i/>
                <w:sz w:val="28"/>
                <w:szCs w:val="28"/>
                <w:lang w:val="en-US" w:eastAsia="zh-CN"/>
              </w:rPr>
              <w:t xml:space="preserve">Automobile and Highway Institute </w:t>
            </w:r>
          </w:p>
          <w:p w:rsidR="00B85A64" w:rsidRPr="00B85A64" w:rsidRDefault="00B85A64" w:rsidP="00B85A64">
            <w:pPr>
              <w:widowControl w:val="0"/>
              <w:autoSpaceDE w:val="0"/>
              <w:autoSpaceDN w:val="0"/>
              <w:adjustRightInd w:val="0"/>
              <w:contextualSpacing/>
              <w:rPr>
                <w:rFonts w:ascii="Times New Roman" w:eastAsia="SimSun" w:hAnsi="Times New Roman"/>
                <w:i/>
                <w:sz w:val="28"/>
                <w:szCs w:val="28"/>
                <w:lang w:val="en-US" w:eastAsia="zh-CN"/>
              </w:rPr>
            </w:pPr>
            <w:r w:rsidRPr="00B85A64">
              <w:rPr>
                <w:rFonts w:ascii="Times New Roman" w:eastAsia="SimSun" w:hAnsi="Times New Roman"/>
                <w:i/>
                <w:sz w:val="28"/>
                <w:szCs w:val="28"/>
                <w:lang w:val="en-US" w:eastAsia="zh-CN"/>
              </w:rPr>
              <w:t xml:space="preserve">of State Higher Educational Establishment </w:t>
            </w:r>
          </w:p>
          <w:p w:rsidR="00B85A64" w:rsidRPr="00B85A64" w:rsidRDefault="00B85A64" w:rsidP="00B85A64">
            <w:pPr>
              <w:widowControl w:val="0"/>
              <w:autoSpaceDE w:val="0"/>
              <w:autoSpaceDN w:val="0"/>
              <w:adjustRightInd w:val="0"/>
              <w:contextualSpacing/>
              <w:rPr>
                <w:rFonts w:ascii="Times New Roman" w:eastAsia="SimSun" w:hAnsi="Times New Roman"/>
                <w:i/>
                <w:sz w:val="28"/>
                <w:szCs w:val="28"/>
                <w:lang w:val="en-US" w:eastAsia="zh-CN"/>
              </w:rPr>
            </w:pPr>
            <w:r w:rsidRPr="00B85A64">
              <w:rPr>
                <w:rFonts w:ascii="Times New Roman" w:eastAsia="SimSun" w:hAnsi="Times New Roman"/>
                <w:i/>
                <w:sz w:val="28"/>
                <w:szCs w:val="28"/>
                <w:lang w:val="en-US" w:eastAsia="zh-CN"/>
              </w:rPr>
              <w:t>«Donetsk National Technical University»</w:t>
            </w:r>
          </w:p>
          <w:p w:rsidR="00B85A64" w:rsidRPr="00B85A64" w:rsidRDefault="00B85A64" w:rsidP="00B85A64">
            <w:pPr>
              <w:widowControl w:val="0"/>
              <w:autoSpaceDE w:val="0"/>
              <w:autoSpaceDN w:val="0"/>
              <w:adjustRightInd w:val="0"/>
              <w:contextualSpacing/>
              <w:rPr>
                <w:rFonts w:ascii="Times New Roman" w:eastAsia="SimSun" w:hAnsi="Times New Roman"/>
                <w:color w:val="000000"/>
                <w:sz w:val="24"/>
                <w:szCs w:val="28"/>
                <w:lang w:val="uk-UA" w:eastAsia="zh-CN"/>
              </w:rPr>
            </w:pPr>
            <w:r w:rsidRPr="00B85A64">
              <w:rPr>
                <w:rFonts w:ascii="Times New Roman" w:eastAsia="SimSun" w:hAnsi="Times New Roman"/>
                <w:i/>
                <w:sz w:val="28"/>
                <w:szCs w:val="28"/>
                <w:lang w:val="en-US" w:eastAsia="zh-CN"/>
              </w:rPr>
              <w:t>Gorlovka, Donetsk People’s Republic</w:t>
            </w:r>
          </w:p>
        </w:tc>
      </w:tr>
      <w:tr w:rsidR="00B85A64" w:rsidRPr="00B85A64" w:rsidTr="00BB1D7C">
        <w:trPr>
          <w:jc w:val="center"/>
        </w:trPr>
        <w:tc>
          <w:tcPr>
            <w:tcW w:w="4320" w:type="dxa"/>
          </w:tcPr>
          <w:p w:rsidR="00B85A64" w:rsidRPr="00B85A64" w:rsidRDefault="00B85A64" w:rsidP="00B85A64">
            <w:pPr>
              <w:keepNext/>
              <w:keepLines/>
              <w:ind w:hanging="28"/>
              <w:jc w:val="center"/>
              <w:outlineLvl w:val="0"/>
              <w:rPr>
                <w:rFonts w:ascii="Times New Roman" w:hAnsi="Times New Roman"/>
                <w:b/>
                <w:bCs/>
                <w:caps/>
                <w:sz w:val="28"/>
                <w:szCs w:val="28"/>
                <w:shd w:val="clear" w:color="auto" w:fill="FFFFFF"/>
                <w:lang w:val="en-US"/>
              </w:rPr>
            </w:pPr>
          </w:p>
        </w:tc>
        <w:tc>
          <w:tcPr>
            <w:tcW w:w="5247" w:type="dxa"/>
          </w:tcPr>
          <w:p w:rsidR="00B85A64" w:rsidRPr="00B85A64" w:rsidRDefault="00B85A64" w:rsidP="00B85A64">
            <w:pPr>
              <w:widowControl w:val="0"/>
              <w:jc w:val="both"/>
              <w:rPr>
                <w:rFonts w:ascii="Times New Roman" w:hAnsi="Times New Roman"/>
                <w:sz w:val="28"/>
                <w:szCs w:val="24"/>
                <w:lang w:val="en-US"/>
              </w:rPr>
            </w:pPr>
          </w:p>
        </w:tc>
      </w:tr>
      <w:tr w:rsidR="00B85A64" w:rsidRPr="00B85A64" w:rsidTr="00BB1D7C">
        <w:trPr>
          <w:jc w:val="center"/>
        </w:trPr>
        <w:tc>
          <w:tcPr>
            <w:tcW w:w="9567" w:type="dxa"/>
            <w:gridSpan w:val="2"/>
          </w:tcPr>
          <w:p w:rsidR="00B85A64" w:rsidRPr="00B85A64" w:rsidRDefault="00B85A64" w:rsidP="00B85A64">
            <w:pPr>
              <w:keepNext/>
              <w:keepLines/>
              <w:ind w:hanging="28"/>
              <w:jc w:val="center"/>
              <w:outlineLvl w:val="0"/>
              <w:rPr>
                <w:rFonts w:ascii="Times New Roman" w:hAnsi="Times New Roman"/>
                <w:b/>
                <w:bCs/>
                <w:caps/>
                <w:sz w:val="28"/>
                <w:szCs w:val="28"/>
                <w:shd w:val="clear" w:color="auto" w:fill="FFFFFF"/>
              </w:rPr>
            </w:pPr>
            <w:bookmarkStart w:id="1" w:name="_Toc518846465"/>
            <w:r w:rsidRPr="00B85A64">
              <w:rPr>
                <w:rFonts w:ascii="Times New Roman" w:hAnsi="Times New Roman"/>
                <w:b/>
                <w:bCs/>
                <w:caps/>
                <w:sz w:val="28"/>
                <w:szCs w:val="28"/>
                <w:shd w:val="clear" w:color="auto" w:fill="FFFFFF"/>
              </w:rPr>
              <w:t>ПРОБЛЕМЫ ЛОГИСТИЧЕСКОГО ОБСЛУЖИВАНИЯ МЕТАЛЛУРГИЧЕСКИХ ПРЕДПРИЯТИЙ ДОНБАССА</w:t>
            </w:r>
            <w:bookmarkEnd w:id="1"/>
          </w:p>
        </w:tc>
      </w:tr>
      <w:tr w:rsidR="00B85A64" w:rsidRPr="00B85A64" w:rsidTr="00BB1D7C">
        <w:trPr>
          <w:jc w:val="center"/>
        </w:trPr>
        <w:tc>
          <w:tcPr>
            <w:tcW w:w="9567" w:type="dxa"/>
            <w:gridSpan w:val="2"/>
          </w:tcPr>
          <w:p w:rsidR="00B85A64" w:rsidRPr="00B85A64" w:rsidRDefault="00B85A64" w:rsidP="00B85A64">
            <w:pPr>
              <w:jc w:val="both"/>
              <w:rPr>
                <w:rFonts w:ascii="Times New Roman" w:hAnsi="Times New Roman"/>
                <w:sz w:val="28"/>
                <w:szCs w:val="24"/>
              </w:rPr>
            </w:pPr>
          </w:p>
        </w:tc>
      </w:tr>
      <w:tr w:rsidR="00B85A64" w:rsidRPr="00B85A64" w:rsidTr="00BB1D7C">
        <w:trPr>
          <w:jc w:val="center"/>
        </w:trPr>
        <w:tc>
          <w:tcPr>
            <w:tcW w:w="9567" w:type="dxa"/>
            <w:gridSpan w:val="2"/>
          </w:tcPr>
          <w:p w:rsidR="00B85A64" w:rsidRPr="00B85A64" w:rsidRDefault="00B85A64" w:rsidP="00B85A64">
            <w:pPr>
              <w:widowControl w:val="0"/>
              <w:ind w:firstLine="709"/>
              <w:contextualSpacing/>
              <w:jc w:val="center"/>
              <w:rPr>
                <w:rFonts w:ascii="Times New Roman" w:hAnsi="Times New Roman"/>
                <w:b/>
                <w:sz w:val="28"/>
                <w:szCs w:val="28"/>
                <w:lang w:val="en-US"/>
              </w:rPr>
            </w:pPr>
            <w:r w:rsidRPr="00B85A64">
              <w:rPr>
                <w:rFonts w:ascii="Times New Roman" w:hAnsi="Times New Roman"/>
                <w:b/>
                <w:sz w:val="28"/>
                <w:szCs w:val="28"/>
                <w:lang w:val="en-US"/>
              </w:rPr>
              <w:t>PROBLEMS OF LOGISTICS SERVICE METALLURGICAL ENTERPRISES OF DONBASS</w:t>
            </w:r>
          </w:p>
        </w:tc>
      </w:tr>
    </w:tbl>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i/>
          <w:sz w:val="24"/>
          <w:szCs w:val="24"/>
          <w:lang w:eastAsia="ru-RU"/>
        </w:rPr>
      </w:pPr>
      <w:r w:rsidRPr="00B85A64">
        <w:rPr>
          <w:rFonts w:ascii="Times New Roman" w:eastAsia="Times New Roman" w:hAnsi="Times New Roman" w:cs="Times New Roman"/>
          <w:i/>
          <w:sz w:val="24"/>
          <w:szCs w:val="24"/>
          <w:lang w:eastAsia="ru-RU"/>
        </w:rPr>
        <w:t xml:space="preserve">Аннотация. В статье проведен анализ и обобщены современные проблемы логистического обслуживания и восстановления цепей поставок металлургических предприятий Донбасса. Определены приоритеты развития металлургического производства в новых экономических условиях. </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i/>
          <w:sz w:val="24"/>
          <w:szCs w:val="24"/>
          <w:lang w:eastAsia="ru-RU"/>
        </w:rPr>
      </w:pPr>
      <w:r w:rsidRPr="00B85A64">
        <w:rPr>
          <w:rFonts w:ascii="Times New Roman" w:eastAsia="Times New Roman" w:hAnsi="Times New Roman" w:cs="Times New Roman"/>
          <w:i/>
          <w:sz w:val="24"/>
          <w:szCs w:val="24"/>
          <w:lang w:eastAsia="ru-RU"/>
        </w:rPr>
        <w:t xml:space="preserve">Ключевые слова: логистические услуги, логистические цепочки, промышленный потенциал, металлургическое производство, цепи поставок, цепочка «уголь-кокс-металл». </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i/>
          <w:sz w:val="28"/>
          <w:szCs w:val="24"/>
          <w:lang w:eastAsia="ru-RU"/>
        </w:rPr>
      </w:pP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i/>
          <w:sz w:val="24"/>
          <w:szCs w:val="24"/>
          <w:lang w:val="en-US" w:eastAsia="ru-RU"/>
        </w:rPr>
      </w:pPr>
      <w:r w:rsidRPr="00B85A64">
        <w:rPr>
          <w:rFonts w:ascii="Times New Roman" w:eastAsia="Times New Roman" w:hAnsi="Times New Roman" w:cs="Times New Roman"/>
          <w:i/>
          <w:sz w:val="24"/>
          <w:szCs w:val="24"/>
          <w:lang w:val="en-US" w:eastAsia="ru-RU"/>
        </w:rPr>
        <w:t>Abstract. The article analyzes and summarizes the current problems of logistics services and supply chain recovery of metallurgical enterprises of Donbass. Priorities for the development of metallurgical production in the new economic conditions are determined.</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i/>
          <w:sz w:val="24"/>
          <w:szCs w:val="24"/>
          <w:lang w:val="en-US" w:eastAsia="ru-RU"/>
        </w:rPr>
      </w:pPr>
      <w:r w:rsidRPr="00B85A64">
        <w:rPr>
          <w:rFonts w:ascii="Times New Roman" w:eastAsia="Times New Roman" w:hAnsi="Times New Roman" w:cs="Times New Roman"/>
          <w:i/>
          <w:sz w:val="24"/>
          <w:szCs w:val="24"/>
          <w:lang w:val="en-US" w:eastAsia="ru-RU"/>
        </w:rPr>
        <w:t>Keywords: logistic services, logistics chains, industrial potential, metallurgical production, supply chain, coal-coke-metal chain.</w:t>
      </w:r>
    </w:p>
    <w:p w:rsidR="00B85A64" w:rsidRPr="00B85A64" w:rsidRDefault="00B85A64" w:rsidP="00B85A64">
      <w:pPr>
        <w:widowControl w:val="0"/>
        <w:tabs>
          <w:tab w:val="left" w:pos="4500"/>
        </w:tabs>
        <w:spacing w:after="0" w:line="240" w:lineRule="auto"/>
        <w:ind w:firstLine="709"/>
        <w:contextualSpacing/>
        <w:jc w:val="both"/>
        <w:rPr>
          <w:rFonts w:ascii="Times New Roman" w:eastAsia="Times New Roman" w:hAnsi="Times New Roman" w:cs="Times New Roman"/>
          <w:sz w:val="28"/>
          <w:szCs w:val="28"/>
          <w:lang w:val="en-US" w:eastAsia="ru-RU"/>
        </w:rPr>
      </w:pPr>
    </w:p>
    <w:p w:rsidR="00B85A64" w:rsidRPr="00B85A64" w:rsidRDefault="00B85A64" w:rsidP="00B85A64">
      <w:pPr>
        <w:widowControl w:val="0"/>
        <w:tabs>
          <w:tab w:val="left" w:pos="4500"/>
        </w:tabs>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b/>
          <w:sz w:val="28"/>
          <w:szCs w:val="28"/>
          <w:lang w:eastAsia="ru-RU"/>
        </w:rPr>
        <w:t>Постановка проблемы</w:t>
      </w:r>
      <w:r w:rsidRPr="00B85A64">
        <w:rPr>
          <w:rFonts w:ascii="Times New Roman" w:eastAsia="Times New Roman" w:hAnsi="Times New Roman" w:cs="Times New Roman"/>
          <w:sz w:val="28"/>
          <w:szCs w:val="28"/>
          <w:lang w:eastAsia="ru-RU"/>
        </w:rPr>
        <w:t xml:space="preserve">. Эффективное развитие металлургических предприятий имеет стратегическое значение в экономической системе Донбасса. Вместе с тем, в условиях продолжающихся боевых действий, экономической блокады, разобщенности логистических цепочек, отсутствия сырья и собственных финансовых ресурсов, потери рынков сбыта отечественным производителям достаточно сложно противостоять конкуренции со стороны крупных зарубежных компаний на мировом рынке металлопродукции. В данных обстоятельствах остро встает вопрос необходимости совершенствования структуры производства и выпуска продукции, повышения качества логистического обслуживания, реализации организационно-экономического и производственно-сбытового потенциала предприятий. Очевидно, что выполнение этих заданий невозможно с применением старых методов и моделей управления, а восстановить фактически разрушенную в период активных боевых действий промышленную и логистическую инфраструктуру на устаревшей технико-технологической базе  невозможно. Следовательно, инновационный путь </w:t>
      </w:r>
      <w:r w:rsidRPr="00B85A64">
        <w:rPr>
          <w:rFonts w:ascii="Times New Roman" w:eastAsia="Times New Roman" w:hAnsi="Times New Roman" w:cs="Times New Roman"/>
          <w:sz w:val="28"/>
          <w:szCs w:val="28"/>
          <w:lang w:eastAsia="ru-RU"/>
        </w:rPr>
        <w:lastRenderedPageBreak/>
        <w:t xml:space="preserve">развития должен стать определяющим вектором развития металлургического комплекса. Инновации должны носить системный характер и быть ориентированы на достижение конкурентных преимуществ в условиях непрерывно меняющихся условий микро- и макросреды. </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b/>
          <w:sz w:val="28"/>
          <w:szCs w:val="28"/>
          <w:lang w:eastAsia="ru-RU"/>
        </w:rPr>
        <w:t>Анализ предыдущих исследований и публикаций.</w:t>
      </w:r>
      <w:r w:rsidRPr="00B85A64">
        <w:rPr>
          <w:rFonts w:ascii="Times New Roman" w:eastAsia="Times New Roman" w:hAnsi="Times New Roman" w:cs="Times New Roman"/>
          <w:sz w:val="28"/>
          <w:szCs w:val="28"/>
          <w:lang w:eastAsia="ru-RU"/>
        </w:rPr>
        <w:t xml:space="preserve"> Высокая актуальность отмеченных проблем обусловливает пристальное внимание к ним ученых и специалистов-практиков. Проблемы восстановления промышленной базы Донбасса освещены в трудах Е.М. Азарян, А.И. Амоши, Н.В. Ващенко, П.В. Егорова, В.В. Красновой, Р.Н. Лепы, Ю.Г. Лысенко, И.В. Петенко, А.В. Половяна, Ю.Н. Полшкова, В.Н. Ращупкиной, Л.И. Тараш, В.Н. Тимохина, Л.Г. Червовой и др. Методологическую базу современной интегрированной логистики и управления цепями поставок формируют труды А.У. Альбекова,  Б.А. Аникина,  Д.Дж. Бауэрсокса,  Д.Л. Вордлоу,  Д.Ф. Вуда,  А.М. Гаджинского, Дж.С. Джонсона, Е.И. Зайцева, Т.В. Ибрагимхалиловой, Д.А. Иванова, Д.Дж. Клосса,  Д.М. Ламберта,  В.С. Лукинского, Н.Г. Плетневой, Л.Б. Миротина, Дж.Р. Стока и др. Вопросам совершенствования систем логистического сервиса в различных видах экономической деятельности посвящены публикации Е.Р. Абрамовой, В.М. Аристова, А.В. Бубелы, О.Е. Васильевой, Н.В. Гайдабрус, В.В. Дыбской, А.В. Ивановой, И.А. Кожемякиной, Е.В. Крикавского, С.И. Кубив, В.Б. Мантусова, О.И. Мельниченко, Т.Н. Одинцовой, В.И. Сергеева, С.М.  Хаировой, Н.И. Чухрай, И.Ю Ягузинской, Л.Я. Якимишин и др.</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sz w:val="28"/>
          <w:szCs w:val="28"/>
          <w:lang w:eastAsia="ru-RU"/>
        </w:rPr>
        <w:t xml:space="preserve">Несмотря на значительный вклад ученых в развитие теории и практики логистического подхода в управлении производственно-экономическими системами, до настоящего момента не разработан комплексный механизм управления логистическим обслуживанием металлургических предприятий Донбасса для обеспечения их бесперебойной деятельности и достижения конкурентных преимуществ на мировом рынке металлопродукции. </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b/>
          <w:sz w:val="28"/>
          <w:szCs w:val="28"/>
          <w:lang w:eastAsia="ru-RU"/>
        </w:rPr>
        <w:t>Цель исследования</w:t>
      </w:r>
      <w:r w:rsidRPr="00B85A64">
        <w:rPr>
          <w:rFonts w:ascii="Times New Roman" w:eastAsia="Times New Roman" w:hAnsi="Times New Roman" w:cs="Times New Roman"/>
          <w:sz w:val="28"/>
          <w:szCs w:val="28"/>
          <w:lang w:eastAsia="ru-RU"/>
        </w:rPr>
        <w:t xml:space="preserve"> – на основе анализа современных тенденций развития металлургических предприятий Донбасса обобщить проблемы логистического обслуживания в новых экономически условиях для выработки управленческих решений, ориентированных на восстановление их производственно-экономического потенциала. </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b/>
          <w:sz w:val="28"/>
          <w:szCs w:val="28"/>
          <w:lang w:eastAsia="ru-RU"/>
        </w:rPr>
        <w:t>Основные результаты исследования</w:t>
      </w:r>
      <w:r w:rsidRPr="00B85A64">
        <w:rPr>
          <w:rFonts w:ascii="Times New Roman" w:eastAsia="Times New Roman" w:hAnsi="Times New Roman" w:cs="Times New Roman"/>
          <w:sz w:val="28"/>
          <w:szCs w:val="28"/>
          <w:lang w:eastAsia="ru-RU"/>
        </w:rPr>
        <w:t xml:space="preserve">. Металлургический комплекс является базовым видом деятельности в структуре экономики Донецкой Народной Республики. Он включает металлургические, коксохимические и металлообрабатывающие предприятия. В настоящее время в ДНР действуют 49 работающих предприятий металлургического комплекса, которые обеспечивают треть общего объема реализации промышленной продукции, большую часть (более 50%) экспорта ДНР. На предприятиях металлургического комплекса занято более 24 тысяч человек. Средняя заработная плата одного штатного работника составляет более 13 тыс. руб. [1]. </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sz w:val="28"/>
          <w:szCs w:val="28"/>
          <w:lang w:eastAsia="ru-RU"/>
        </w:rPr>
        <w:t xml:space="preserve">По итогам 2017 г. объем реализации промышленной продукции предприятиями металлургического комплекса составил более 44,5 млрд. руб. Произведено основных видов продукции в 2017 г.: чугуна – 1,53 млн т, стали </w:t>
      </w:r>
      <w:r w:rsidRPr="00B85A64">
        <w:rPr>
          <w:rFonts w:ascii="Times New Roman" w:eastAsia="Times New Roman" w:hAnsi="Times New Roman" w:cs="Times New Roman"/>
          <w:sz w:val="28"/>
          <w:szCs w:val="28"/>
          <w:lang w:eastAsia="ru-RU"/>
        </w:rPr>
        <w:lastRenderedPageBreak/>
        <w:t>– 1,1 млн т, готового проката – 0,87 млн т, кокса – 1,2 млн т., проволоки из стали – 6,7 млн т. Продукция предприятий металлургического комплекса успешно реализуется потребителям ДНР, ЛНР и РФ [1; 2; 3].</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sz w:val="28"/>
          <w:szCs w:val="28"/>
          <w:lang w:eastAsia="ru-RU"/>
        </w:rPr>
        <w:t xml:space="preserve">Положительную динамику деятельности металлургических предприятий обусловила реализация мероприятий по восстановлению и обслуживанию стержневой цепочки «уголь-кокс-металл» (табл. 1). </w:t>
      </w:r>
    </w:p>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sz w:val="28"/>
          <w:szCs w:val="28"/>
          <w:lang w:eastAsia="ru-RU"/>
        </w:rPr>
        <w:t>Таким образом, реализация комплекса мер по переориентации предприятий на рынок РФ и стран Таможенного союза позволила начать восстановление производства на ключевых для экономики Республики металлургических предприятиях, обеспечить рост производства и реализации, занятость и создание новых рабочих мест.</w:t>
      </w:r>
    </w:p>
    <w:p w:rsidR="00B85A64" w:rsidRPr="00B85A64" w:rsidRDefault="00B85A64" w:rsidP="00B85A64">
      <w:pPr>
        <w:widowControl w:val="0"/>
        <w:spacing w:after="0" w:line="240" w:lineRule="auto"/>
        <w:ind w:firstLine="709"/>
        <w:contextualSpacing/>
        <w:jc w:val="right"/>
        <w:rPr>
          <w:rFonts w:ascii="Times New Roman" w:eastAsia="Times New Roman" w:hAnsi="Times New Roman" w:cs="Times New Roman"/>
          <w:sz w:val="28"/>
          <w:szCs w:val="28"/>
          <w:lang w:eastAsia="ru-RU"/>
        </w:rPr>
      </w:pPr>
      <w:r w:rsidRPr="00B85A64">
        <w:rPr>
          <w:rFonts w:ascii="Times New Roman" w:eastAsia="Times New Roman" w:hAnsi="Times New Roman" w:cs="Times New Roman"/>
          <w:sz w:val="28"/>
          <w:szCs w:val="28"/>
          <w:lang w:eastAsia="ru-RU"/>
        </w:rPr>
        <w:t>Таблица 1</w:t>
      </w:r>
    </w:p>
    <w:p w:rsidR="00B85A64" w:rsidRPr="00B85A64" w:rsidRDefault="00B85A64" w:rsidP="00B85A64">
      <w:pPr>
        <w:widowControl w:val="0"/>
        <w:spacing w:after="0" w:line="240" w:lineRule="auto"/>
        <w:ind w:firstLine="709"/>
        <w:contextualSpacing/>
        <w:jc w:val="center"/>
        <w:rPr>
          <w:rFonts w:ascii="Times New Roman" w:eastAsia="Times New Roman" w:hAnsi="Times New Roman" w:cs="Times New Roman"/>
          <w:sz w:val="28"/>
          <w:szCs w:val="28"/>
          <w:lang w:eastAsia="ru-RU"/>
        </w:rPr>
      </w:pPr>
      <w:r w:rsidRPr="00B85A64">
        <w:rPr>
          <w:rFonts w:ascii="Times New Roman" w:eastAsia="Times New Roman" w:hAnsi="Times New Roman" w:cs="Times New Roman"/>
          <w:sz w:val="28"/>
          <w:szCs w:val="28"/>
          <w:lang w:eastAsia="ru-RU"/>
        </w:rPr>
        <w:t>Мероприятия по восстановлению производственного потенциала и обслуживанию цепей поставок в металлургии ДНР в 2017 г.</w:t>
      </w:r>
    </w:p>
    <w:tbl>
      <w:tblPr>
        <w:tblStyle w:val="a3"/>
        <w:tblW w:w="9572" w:type="dxa"/>
        <w:jc w:val="center"/>
        <w:tblCellMar>
          <w:left w:w="28" w:type="dxa"/>
          <w:right w:w="28" w:type="dxa"/>
        </w:tblCellMar>
        <w:tblLook w:val="04A0" w:firstRow="1" w:lastRow="0" w:firstColumn="1" w:lastColumn="0" w:noHBand="0" w:noVBand="1"/>
      </w:tblPr>
      <w:tblGrid>
        <w:gridCol w:w="380"/>
        <w:gridCol w:w="4596"/>
        <w:gridCol w:w="4596"/>
      </w:tblGrid>
      <w:tr w:rsidR="00B85A64" w:rsidRPr="00B85A64" w:rsidTr="00BB1D7C">
        <w:trPr>
          <w:trHeight w:val="339"/>
          <w:jc w:val="center"/>
        </w:trPr>
        <w:tc>
          <w:tcPr>
            <w:tcW w:w="380" w:type="dxa"/>
            <w:vAlign w:val="center"/>
          </w:tcPr>
          <w:p w:rsidR="00B85A64" w:rsidRPr="00B85A64" w:rsidRDefault="00B85A64" w:rsidP="00B85A64">
            <w:pPr>
              <w:widowControl w:val="0"/>
              <w:tabs>
                <w:tab w:val="left" w:pos="1080"/>
                <w:tab w:val="left" w:pos="1236"/>
                <w:tab w:val="left" w:pos="1620"/>
              </w:tabs>
              <w:contextualSpacing/>
              <w:jc w:val="center"/>
              <w:rPr>
                <w:rFonts w:ascii="Times New Roman" w:hAnsi="Times New Roman"/>
                <w:sz w:val="24"/>
                <w:szCs w:val="24"/>
              </w:rPr>
            </w:pPr>
            <w:r w:rsidRPr="00B85A64">
              <w:rPr>
                <w:rFonts w:ascii="Times New Roman" w:hAnsi="Times New Roman"/>
                <w:sz w:val="24"/>
                <w:szCs w:val="24"/>
              </w:rPr>
              <w:t>№ п/п</w:t>
            </w:r>
          </w:p>
        </w:tc>
        <w:tc>
          <w:tcPr>
            <w:tcW w:w="4596" w:type="dxa"/>
            <w:vAlign w:val="center"/>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Мероприятие</w:t>
            </w:r>
          </w:p>
        </w:tc>
        <w:tc>
          <w:tcPr>
            <w:tcW w:w="4596" w:type="dxa"/>
            <w:vAlign w:val="center"/>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Результат</w:t>
            </w:r>
          </w:p>
        </w:tc>
      </w:tr>
      <w:tr w:rsidR="00B85A64" w:rsidRPr="00B85A64" w:rsidTr="00BB1D7C">
        <w:trPr>
          <w:jc w:val="center"/>
        </w:trPr>
        <w:tc>
          <w:tcPr>
            <w:tcW w:w="380" w:type="dxa"/>
            <w:vAlign w:val="center"/>
          </w:tcPr>
          <w:p w:rsidR="00B85A64" w:rsidRPr="00B85A64" w:rsidRDefault="00B85A64" w:rsidP="00B85A64">
            <w:pPr>
              <w:widowControl w:val="0"/>
              <w:tabs>
                <w:tab w:val="left" w:pos="1080"/>
                <w:tab w:val="left" w:pos="1236"/>
                <w:tab w:val="left" w:pos="1620"/>
              </w:tabs>
              <w:contextualSpacing/>
              <w:jc w:val="center"/>
              <w:rPr>
                <w:rFonts w:ascii="Times New Roman" w:hAnsi="Times New Roman"/>
                <w:sz w:val="24"/>
                <w:szCs w:val="24"/>
              </w:rPr>
            </w:pPr>
            <w:r w:rsidRPr="00B85A64">
              <w:rPr>
                <w:rFonts w:ascii="Times New Roman" w:hAnsi="Times New Roman"/>
                <w:sz w:val="24"/>
                <w:szCs w:val="24"/>
              </w:rPr>
              <w:t>1</w:t>
            </w:r>
          </w:p>
        </w:tc>
        <w:tc>
          <w:tcPr>
            <w:tcW w:w="4596" w:type="dxa"/>
            <w:vAlign w:val="center"/>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2</w:t>
            </w:r>
          </w:p>
        </w:tc>
        <w:tc>
          <w:tcPr>
            <w:tcW w:w="4596" w:type="dxa"/>
            <w:vAlign w:val="center"/>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3</w:t>
            </w:r>
          </w:p>
        </w:tc>
      </w:tr>
      <w:tr w:rsidR="00B85A64" w:rsidRPr="00B85A64" w:rsidTr="00BB1D7C">
        <w:trPr>
          <w:trHeight w:val="2195"/>
          <w:jc w:val="center"/>
        </w:trPr>
        <w:tc>
          <w:tcPr>
            <w:tcW w:w="380" w:type="dxa"/>
          </w:tcPr>
          <w:p w:rsidR="00B85A64" w:rsidRPr="00B85A64" w:rsidRDefault="00B85A64" w:rsidP="00B85A64">
            <w:pPr>
              <w:widowControl w:val="0"/>
              <w:tabs>
                <w:tab w:val="left" w:pos="1080"/>
                <w:tab w:val="left" w:pos="1236"/>
                <w:tab w:val="left" w:pos="1620"/>
              </w:tabs>
              <w:contextualSpacing/>
              <w:jc w:val="center"/>
              <w:rPr>
                <w:rFonts w:ascii="Times New Roman" w:hAnsi="Times New Roman"/>
                <w:sz w:val="24"/>
                <w:szCs w:val="24"/>
              </w:rPr>
            </w:pPr>
            <w:r w:rsidRPr="00B85A64">
              <w:rPr>
                <w:rFonts w:ascii="Times New Roman" w:hAnsi="Times New Roman"/>
                <w:sz w:val="24"/>
                <w:szCs w:val="24"/>
              </w:rPr>
              <w:t>1</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shd w:val="clear" w:color="auto" w:fill="FFFFFF"/>
              </w:rPr>
              <w:t>Переход крупнейших предприятий  («</w:t>
            </w:r>
            <w:r w:rsidRPr="00B85A64">
              <w:rPr>
                <w:rFonts w:ascii="Times New Roman" w:hAnsi="Times New Roman"/>
                <w:i/>
                <w:iCs/>
                <w:sz w:val="24"/>
                <w:szCs w:val="24"/>
                <w:bdr w:val="none" w:sz="0" w:space="0" w:color="auto" w:frame="1"/>
              </w:rPr>
              <w:t xml:space="preserve">Донецксталь», Енакиевский и Макеевский металлургические заводы, «Енакиевский коксохимпром», Ясиновский коксохимический завод, «Макеевкокс», Харцызский трубный завод) под внешнее управление </w:t>
            </w:r>
            <w:r w:rsidRPr="00B85A64">
              <w:rPr>
                <w:rFonts w:ascii="Times New Roman" w:hAnsi="Times New Roman"/>
                <w:sz w:val="24"/>
                <w:szCs w:val="24"/>
              </w:rPr>
              <w:t>ЗАО «Внешторгсервис», зарегистрированного в Южной Осетии.</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i/>
                <w:iCs/>
                <w:sz w:val="24"/>
                <w:szCs w:val="24"/>
                <w:bdr w:val="none" w:sz="0" w:space="0" w:color="auto" w:frame="1"/>
                <w:shd w:val="clear" w:color="auto" w:fill="FFFFFF"/>
              </w:rPr>
              <w:t>Восстановление работы после остановки в условиях боевых действий и экономической блокады со стороны Украины, переориентация деятельности на рынок Российской Федерации и других стран, выплата долга по заработной плате сотрудникам, обеспечение сырьем, поиск рынков сбыта для полноценного запуска.</w:t>
            </w:r>
          </w:p>
        </w:tc>
      </w:tr>
      <w:tr w:rsidR="00B85A64" w:rsidRPr="00B85A64" w:rsidTr="00BB1D7C">
        <w:trPr>
          <w:trHeight w:val="1957"/>
          <w:jc w:val="center"/>
        </w:trPr>
        <w:tc>
          <w:tcPr>
            <w:tcW w:w="380" w:type="dxa"/>
            <w:tcBorders>
              <w:bottom w:val="single" w:sz="4" w:space="0" w:color="000000"/>
            </w:tcBorders>
          </w:tcPr>
          <w:p w:rsidR="00B85A64" w:rsidRPr="00B85A64" w:rsidRDefault="00B85A64" w:rsidP="00B85A64">
            <w:pPr>
              <w:widowControl w:val="0"/>
              <w:tabs>
                <w:tab w:val="left" w:pos="1080"/>
                <w:tab w:val="left" w:pos="1236"/>
                <w:tab w:val="left" w:pos="1620"/>
              </w:tabs>
              <w:contextualSpacing/>
              <w:jc w:val="center"/>
              <w:rPr>
                <w:rFonts w:ascii="Times New Roman" w:hAnsi="Times New Roman"/>
                <w:sz w:val="24"/>
                <w:szCs w:val="24"/>
              </w:rPr>
            </w:pPr>
            <w:r w:rsidRPr="00B85A64">
              <w:rPr>
                <w:rFonts w:ascii="Times New Roman" w:hAnsi="Times New Roman"/>
                <w:sz w:val="24"/>
                <w:szCs w:val="24"/>
              </w:rPr>
              <w:t>2</w:t>
            </w:r>
          </w:p>
        </w:tc>
        <w:tc>
          <w:tcPr>
            <w:tcW w:w="4596" w:type="dxa"/>
            <w:tcBorders>
              <w:bottom w:val="single" w:sz="4" w:space="0" w:color="000000"/>
            </w:tcBorders>
          </w:tcPr>
          <w:p w:rsidR="00B85A64" w:rsidRPr="00B85A64" w:rsidRDefault="00B85A64" w:rsidP="00B85A64">
            <w:pPr>
              <w:widowControl w:val="0"/>
              <w:contextualSpacing/>
              <w:jc w:val="both"/>
              <w:rPr>
                <w:rFonts w:ascii="Times New Roman" w:hAnsi="Times New Roman"/>
                <w:i/>
                <w:sz w:val="24"/>
                <w:szCs w:val="24"/>
              </w:rPr>
            </w:pPr>
            <w:r w:rsidRPr="00B85A64">
              <w:rPr>
                <w:rFonts w:ascii="Times New Roman" w:hAnsi="Times New Roman"/>
                <w:i/>
                <w:iCs/>
                <w:sz w:val="24"/>
                <w:szCs w:val="24"/>
                <w:bdr w:val="none" w:sz="0" w:space="0" w:color="auto" w:frame="1"/>
                <w:shd w:val="clear" w:color="auto" w:fill="FFFFFF"/>
              </w:rPr>
              <w:t>Создание новых государственных предприятий, входящих в сферу управления Минпрома ДНР: ГП «Харцызский сталепроволочный канатный завод «Силур», ГП «Докучаевский флюсо-доломитный комбинат», ГП «Донбасс-Либерти».</w:t>
            </w:r>
          </w:p>
        </w:tc>
        <w:tc>
          <w:tcPr>
            <w:tcW w:w="4596" w:type="dxa"/>
            <w:tcBorders>
              <w:bottom w:val="single" w:sz="4" w:space="0" w:color="000000"/>
            </w:tcBorders>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Возобновление деятельности после длительного простоя.</w:t>
            </w:r>
          </w:p>
        </w:tc>
      </w:tr>
      <w:tr w:rsidR="00B85A64" w:rsidRPr="00B85A64" w:rsidTr="00BB1D7C">
        <w:trPr>
          <w:trHeight w:val="1832"/>
          <w:jc w:val="center"/>
        </w:trPr>
        <w:tc>
          <w:tcPr>
            <w:tcW w:w="380" w:type="dxa"/>
            <w:tcBorders>
              <w:bottom w:val="single" w:sz="4" w:space="0" w:color="auto"/>
            </w:tcBorders>
          </w:tcPr>
          <w:p w:rsidR="00B85A64" w:rsidRPr="00B85A64" w:rsidRDefault="00B85A64" w:rsidP="00B85A64">
            <w:pPr>
              <w:widowControl w:val="0"/>
              <w:tabs>
                <w:tab w:val="left" w:pos="1080"/>
                <w:tab w:val="left" w:pos="1236"/>
                <w:tab w:val="left" w:pos="1620"/>
              </w:tabs>
              <w:contextualSpacing/>
              <w:jc w:val="center"/>
              <w:rPr>
                <w:rFonts w:ascii="Times New Roman" w:hAnsi="Times New Roman"/>
                <w:sz w:val="24"/>
                <w:szCs w:val="24"/>
              </w:rPr>
            </w:pPr>
            <w:r w:rsidRPr="00B85A64">
              <w:rPr>
                <w:rFonts w:ascii="Times New Roman" w:hAnsi="Times New Roman"/>
                <w:sz w:val="24"/>
                <w:szCs w:val="24"/>
              </w:rPr>
              <w:t>3</w:t>
            </w:r>
          </w:p>
        </w:tc>
        <w:tc>
          <w:tcPr>
            <w:tcW w:w="4596" w:type="dxa"/>
            <w:tcBorders>
              <w:bottom w:val="single" w:sz="4" w:space="0" w:color="auto"/>
            </w:tcBorders>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 xml:space="preserve">Переход ГП «Енакиевский металлургический завод», ГП «Донецкий металлургический завод», ГП «Докучаевский флюсо-доломитный комбинат», ГР «Шахта им. Засядько» под юрисдикцию ДНР. </w:t>
            </w:r>
          </w:p>
        </w:tc>
        <w:tc>
          <w:tcPr>
            <w:tcW w:w="4596" w:type="dxa"/>
            <w:tcBorders>
              <w:bottom w:val="single" w:sz="4" w:space="0" w:color="auto"/>
            </w:tcBorders>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Обеспечение стержневой цепи поставок «уголь-кокс-металл», поставки сырья на коксохимические и металлургические предприятия Республики, возможность экспорта металлопродукции на внешние рынки при посредничестве ЗАО «Внешторгсервис».</w:t>
            </w:r>
          </w:p>
        </w:tc>
      </w:tr>
      <w:tr w:rsidR="00B85A64" w:rsidRPr="00B85A64" w:rsidTr="00BB1D7C">
        <w:trPr>
          <w:jc w:val="center"/>
        </w:trPr>
        <w:tc>
          <w:tcPr>
            <w:tcW w:w="9572" w:type="dxa"/>
            <w:gridSpan w:val="3"/>
            <w:tcBorders>
              <w:top w:val="single" w:sz="4" w:space="0" w:color="auto"/>
              <w:left w:val="nil"/>
              <w:right w:val="nil"/>
            </w:tcBorders>
          </w:tcPr>
          <w:p w:rsidR="00B85A64" w:rsidRPr="00B85A64" w:rsidRDefault="00B85A64" w:rsidP="00B85A64">
            <w:pPr>
              <w:ind w:firstLine="709"/>
              <w:jc w:val="right"/>
              <w:rPr>
                <w:rFonts w:ascii="Times New Roman" w:hAnsi="Times New Roman"/>
                <w:sz w:val="28"/>
                <w:szCs w:val="24"/>
              </w:rPr>
            </w:pPr>
            <w:r w:rsidRPr="00B85A64">
              <w:rPr>
                <w:rFonts w:ascii="Times New Roman" w:hAnsi="Times New Roman"/>
                <w:sz w:val="28"/>
                <w:szCs w:val="28"/>
              </w:rPr>
              <w:t>Продолжение табл. 1</w:t>
            </w:r>
          </w:p>
        </w:tc>
      </w:tr>
      <w:tr w:rsidR="00B85A64" w:rsidRPr="00B85A64" w:rsidTr="00BB1D7C">
        <w:trPr>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1</w:t>
            </w:r>
          </w:p>
        </w:tc>
        <w:tc>
          <w:tcPr>
            <w:tcW w:w="4596" w:type="dxa"/>
          </w:tcPr>
          <w:p w:rsidR="00B85A64" w:rsidRPr="00B85A64" w:rsidRDefault="00B85A64" w:rsidP="00B85A64">
            <w:pPr>
              <w:widowControl w:val="0"/>
              <w:contextualSpacing/>
              <w:jc w:val="center"/>
              <w:rPr>
                <w:rFonts w:ascii="Times New Roman" w:hAnsi="Times New Roman"/>
                <w:iCs/>
                <w:sz w:val="24"/>
                <w:szCs w:val="24"/>
              </w:rPr>
            </w:pPr>
            <w:r w:rsidRPr="00B85A64">
              <w:rPr>
                <w:rFonts w:ascii="Times New Roman" w:hAnsi="Times New Roman"/>
                <w:iCs/>
                <w:sz w:val="24"/>
                <w:szCs w:val="24"/>
              </w:rPr>
              <w:t>2</w:t>
            </w:r>
          </w:p>
        </w:tc>
        <w:tc>
          <w:tcPr>
            <w:tcW w:w="4596"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3</w:t>
            </w:r>
          </w:p>
        </w:tc>
      </w:tr>
      <w:tr w:rsidR="00B85A64" w:rsidRPr="00B85A64" w:rsidTr="00BB1D7C">
        <w:trPr>
          <w:trHeight w:val="664"/>
          <w:jc w:val="center"/>
        </w:trPr>
        <w:tc>
          <w:tcPr>
            <w:tcW w:w="380" w:type="dxa"/>
          </w:tcPr>
          <w:p w:rsidR="00B85A64" w:rsidRPr="00B85A64" w:rsidRDefault="00B85A64" w:rsidP="00B85A64">
            <w:pPr>
              <w:widowControl w:val="0"/>
              <w:tabs>
                <w:tab w:val="left" w:pos="1080"/>
                <w:tab w:val="left" w:pos="1236"/>
                <w:tab w:val="left" w:pos="1620"/>
              </w:tabs>
              <w:contextualSpacing/>
              <w:jc w:val="center"/>
              <w:rPr>
                <w:rFonts w:ascii="Times New Roman" w:hAnsi="Times New Roman"/>
                <w:sz w:val="24"/>
                <w:szCs w:val="24"/>
              </w:rPr>
            </w:pPr>
            <w:r w:rsidRPr="00B85A64">
              <w:rPr>
                <w:rFonts w:ascii="Times New Roman" w:hAnsi="Times New Roman"/>
                <w:sz w:val="24"/>
                <w:szCs w:val="24"/>
              </w:rPr>
              <w:t>4</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 xml:space="preserve">Переход «Донецкого металлургического завода» в государственную собственность и контроль ДНР. </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Восстановление работы, получение сырья из РФ от концерна «Северсталь» на давальческой основе.</w:t>
            </w:r>
          </w:p>
        </w:tc>
      </w:tr>
      <w:tr w:rsidR="00B85A64" w:rsidRPr="00B85A64" w:rsidTr="00BB1D7C">
        <w:trPr>
          <w:trHeight w:val="2178"/>
          <w:jc w:val="center"/>
        </w:trPr>
        <w:tc>
          <w:tcPr>
            <w:tcW w:w="380" w:type="dxa"/>
          </w:tcPr>
          <w:p w:rsidR="00B85A64" w:rsidRPr="00B85A64" w:rsidRDefault="00B85A64" w:rsidP="00B85A64">
            <w:pPr>
              <w:widowControl w:val="0"/>
              <w:tabs>
                <w:tab w:val="left" w:pos="1080"/>
                <w:tab w:val="left" w:pos="1236"/>
                <w:tab w:val="left" w:pos="1620"/>
              </w:tabs>
              <w:contextualSpacing/>
              <w:jc w:val="center"/>
              <w:rPr>
                <w:rFonts w:ascii="Times New Roman" w:hAnsi="Times New Roman"/>
                <w:sz w:val="24"/>
                <w:szCs w:val="24"/>
              </w:rPr>
            </w:pPr>
            <w:r w:rsidRPr="00B85A64">
              <w:rPr>
                <w:rFonts w:ascii="Times New Roman" w:hAnsi="Times New Roman"/>
                <w:sz w:val="24"/>
                <w:szCs w:val="24"/>
              </w:rPr>
              <w:lastRenderedPageBreak/>
              <w:t>5</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Восстановление работы ООО «Макеевский литейный завод» (производство чугунных литых мелющих тел), ООО «Арксэл» (производство сварочных электродов), ГП «Донбасс-Либерти» (производство труб стальных электросварных, проволоки и фибры стальной, металлической мебели, матрац),</w:t>
            </w:r>
            <w:r w:rsidRPr="00B85A64">
              <w:rPr>
                <w:rFonts w:ascii="Times New Roman" w:hAnsi="Times New Roman"/>
                <w:i/>
                <w:iCs/>
                <w:sz w:val="24"/>
                <w:szCs w:val="24"/>
                <w:bdr w:val="none" w:sz="0" w:space="0" w:color="auto" w:frame="1"/>
                <w:shd w:val="clear" w:color="auto" w:fill="FFFFFF"/>
              </w:rPr>
              <w:t xml:space="preserve"> ГП «Донецккокс».</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 xml:space="preserve">Возобновление деятельности после длительного простоя. </w:t>
            </w:r>
            <w:r w:rsidRPr="00B85A64">
              <w:rPr>
                <w:rFonts w:ascii="Times New Roman" w:hAnsi="Times New Roman"/>
                <w:sz w:val="24"/>
                <w:szCs w:val="24"/>
                <w:shd w:val="clear" w:color="auto" w:fill="FFFFFF"/>
              </w:rPr>
              <w:t>«Донбасс-Либерти» обеспечивает ЛНР трубами собственного производства.</w:t>
            </w:r>
          </w:p>
        </w:tc>
      </w:tr>
      <w:tr w:rsidR="00B85A64" w:rsidRPr="00B85A64" w:rsidTr="00BB1D7C">
        <w:trPr>
          <w:trHeight w:val="2508"/>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6</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Возобновление в апреле 2017 г.  производственной деятельности ГП «Харцызский сталепроволочный – канатный завод «Силур» специализирующегося на производстве стальных канатов и проволоки, стабилизированных арматурных канатов, металлической сетки, фибры и прочих метизов.</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Объем реализованной продукции с момента запуска предприятия составил 413 млн руб. Продукция реализуется потребителям ДНР, ЛНР и РФ.  Среди заказчиков – ГП «Макеевуголь», ГП «Торезантрацит», ГП «Шахта им. Засядько», ГП «ДУЭК», «Краснодонуголь», «Свердловантрацит», «Ровенькиантрацит» и другие крупнейшие угольные предприятия.</w:t>
            </w:r>
          </w:p>
        </w:tc>
      </w:tr>
      <w:tr w:rsidR="00B85A64" w:rsidRPr="00B85A64" w:rsidTr="00BB1D7C">
        <w:trPr>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7</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iCs/>
                <w:sz w:val="24"/>
                <w:szCs w:val="24"/>
              </w:rPr>
              <w:t>05.10.2017 г.  – запуск производства на ГП «Юзовский металлургический завод», специализирующегося на производстве непрерывнолитой квадратной заготовки.</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rPr>
              <w:t>Возобновление работы после длительного простоя (</w:t>
            </w:r>
            <w:r w:rsidRPr="00B85A64">
              <w:rPr>
                <w:rFonts w:ascii="Times New Roman" w:hAnsi="Times New Roman"/>
                <w:iCs/>
                <w:sz w:val="24"/>
                <w:szCs w:val="24"/>
              </w:rPr>
              <w:t>деятельность не осуществлялась с января 2014 года). Восстановление 900 рабочих мест, увеличение оборота 70 смежных предприятий.</w:t>
            </w:r>
          </w:p>
        </w:tc>
      </w:tr>
      <w:tr w:rsidR="00B85A64" w:rsidRPr="00B85A64" w:rsidTr="00BB1D7C">
        <w:trPr>
          <w:trHeight w:val="945"/>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8</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shd w:val="clear" w:color="auto" w:fill="FFFFFF"/>
              </w:rPr>
              <w:t>Обеспечение ГП «Докучаевский флюсо-доломитный комбинат» рынком сбыта в ЛНР – поставки известняка на Луганский сталелитейный завод «Сталь».</w:t>
            </w:r>
          </w:p>
        </w:tc>
        <w:tc>
          <w:tcPr>
            <w:tcW w:w="4596" w:type="dxa"/>
          </w:tcPr>
          <w:p w:rsidR="00B85A64" w:rsidRPr="00B85A64" w:rsidRDefault="00B85A64" w:rsidP="00B85A64">
            <w:pPr>
              <w:widowControl w:val="0"/>
              <w:contextualSpacing/>
              <w:jc w:val="both"/>
              <w:rPr>
                <w:rFonts w:ascii="Times New Roman" w:hAnsi="Times New Roman"/>
                <w:sz w:val="24"/>
                <w:szCs w:val="24"/>
              </w:rPr>
            </w:pPr>
            <w:r w:rsidRPr="00B85A64">
              <w:rPr>
                <w:rFonts w:ascii="Times New Roman" w:hAnsi="Times New Roman"/>
                <w:sz w:val="24"/>
                <w:szCs w:val="24"/>
                <w:shd w:val="clear" w:color="auto" w:fill="FFFFFF"/>
              </w:rPr>
              <w:t>Луганский сталелитейный завод «Сталь» предоставляет ДНР запчасти для локомотивов.</w:t>
            </w:r>
          </w:p>
        </w:tc>
      </w:tr>
      <w:tr w:rsidR="00B85A64" w:rsidRPr="00B85A64" w:rsidTr="00BB1D7C">
        <w:trPr>
          <w:trHeight w:val="945"/>
          <w:jc w:val="center"/>
        </w:trPr>
        <w:tc>
          <w:tcPr>
            <w:tcW w:w="380" w:type="dxa"/>
          </w:tcPr>
          <w:p w:rsidR="00B85A64" w:rsidRPr="00B85A64" w:rsidRDefault="00B85A64" w:rsidP="00B85A64">
            <w:pPr>
              <w:widowControl w:val="0"/>
              <w:contextualSpacing/>
              <w:jc w:val="center"/>
              <w:rPr>
                <w:rFonts w:ascii="Times New Roman" w:hAnsi="Times New Roman"/>
                <w:sz w:val="24"/>
                <w:szCs w:val="24"/>
                <w:shd w:val="clear" w:color="auto" w:fill="FFFFFF"/>
              </w:rPr>
            </w:pPr>
            <w:r w:rsidRPr="00B85A64">
              <w:rPr>
                <w:rFonts w:ascii="Times New Roman" w:hAnsi="Times New Roman"/>
                <w:sz w:val="24"/>
                <w:szCs w:val="24"/>
                <w:shd w:val="clear" w:color="auto" w:fill="FFFFFF"/>
              </w:rPr>
              <w:t>9</w:t>
            </w:r>
          </w:p>
        </w:tc>
        <w:tc>
          <w:tcPr>
            <w:tcW w:w="4596" w:type="dxa"/>
          </w:tcPr>
          <w:p w:rsidR="00B85A64" w:rsidRPr="00B85A64" w:rsidRDefault="00B85A64" w:rsidP="00B85A64">
            <w:pPr>
              <w:shd w:val="clear" w:color="auto" w:fill="FFFFFF"/>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t>Запуск в апреле 2017 г. на ГП «ЕМЗ» доменной печи (производительность порядка 100−110 тысяч т металла в месяц). Производство первой заготовки в мае 2017 г. Начало раздувки второй доменной печи 15.08.2018 г.</w:t>
            </w:r>
          </w:p>
        </w:tc>
        <w:tc>
          <w:tcPr>
            <w:tcW w:w="4596" w:type="dxa"/>
          </w:tcPr>
          <w:p w:rsidR="00B85A64" w:rsidRPr="00B85A64" w:rsidRDefault="00B85A64" w:rsidP="00B85A64">
            <w:pPr>
              <w:widowControl w:val="0"/>
              <w:contextualSpacing/>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t xml:space="preserve">Восстановление работы предприятия после остановки в условиях экономической блокады, обеспечение сырьем из РФ, рост производства чугуна. </w:t>
            </w:r>
          </w:p>
        </w:tc>
      </w:tr>
      <w:tr w:rsidR="00B85A64" w:rsidRPr="00B85A64" w:rsidTr="00BB1D7C">
        <w:trPr>
          <w:trHeight w:val="945"/>
          <w:jc w:val="center"/>
        </w:trPr>
        <w:tc>
          <w:tcPr>
            <w:tcW w:w="380" w:type="dxa"/>
          </w:tcPr>
          <w:p w:rsidR="00B85A64" w:rsidRPr="00B85A64" w:rsidRDefault="00B85A64" w:rsidP="00B85A64">
            <w:pPr>
              <w:widowControl w:val="0"/>
              <w:contextualSpacing/>
              <w:jc w:val="center"/>
              <w:rPr>
                <w:rFonts w:ascii="Times New Roman" w:hAnsi="Times New Roman"/>
                <w:sz w:val="24"/>
                <w:szCs w:val="24"/>
                <w:shd w:val="clear" w:color="auto" w:fill="FFFFFF"/>
              </w:rPr>
            </w:pPr>
            <w:r w:rsidRPr="00B85A64">
              <w:rPr>
                <w:rFonts w:ascii="Times New Roman" w:hAnsi="Times New Roman"/>
                <w:sz w:val="24"/>
                <w:szCs w:val="24"/>
                <w:shd w:val="clear" w:color="auto" w:fill="FFFFFF"/>
              </w:rPr>
              <w:t>10</w:t>
            </w:r>
          </w:p>
        </w:tc>
        <w:tc>
          <w:tcPr>
            <w:tcW w:w="4596" w:type="dxa"/>
          </w:tcPr>
          <w:p w:rsidR="00B85A64" w:rsidRPr="00B85A64" w:rsidRDefault="00B85A64" w:rsidP="00B85A64">
            <w:pPr>
              <w:shd w:val="clear" w:color="auto" w:fill="FFFFFF"/>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t>Частичное  возобновление работы на ГП «Макеевский металлургический завод» («филиал №3 «Внешторгсервиса»), на котором осуществляется производство проката черных металлов. На предприятии работает около 2 тысяч человек.</w:t>
            </w:r>
          </w:p>
        </w:tc>
        <w:tc>
          <w:tcPr>
            <w:tcW w:w="4596" w:type="dxa"/>
          </w:tcPr>
          <w:p w:rsidR="00B85A64" w:rsidRPr="00B85A64" w:rsidRDefault="00B85A64" w:rsidP="00B85A64">
            <w:pPr>
              <w:shd w:val="clear" w:color="auto" w:fill="FFFFFF"/>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t>В мае 2017 г. возобновил работу стан-390, пускающий арматурный прокат. С июля 2017 г. заработал стан-150, выпускающий проволоку-катанку. В июле 2017 г. станом 390 произведено 26,2 тыс. т арматурного проката, станом 150 произведено 25,2 тыс. т проволоки-катанки.</w:t>
            </w:r>
          </w:p>
        </w:tc>
      </w:tr>
      <w:tr w:rsidR="00B85A64" w:rsidRPr="00B85A64" w:rsidTr="00BB1D7C">
        <w:trPr>
          <w:trHeight w:val="54"/>
          <w:jc w:val="center"/>
        </w:trPr>
        <w:tc>
          <w:tcPr>
            <w:tcW w:w="380" w:type="dxa"/>
          </w:tcPr>
          <w:p w:rsidR="00B85A64" w:rsidRPr="00B85A64" w:rsidRDefault="00B85A64" w:rsidP="00B85A64">
            <w:pPr>
              <w:widowControl w:val="0"/>
              <w:contextualSpacing/>
              <w:jc w:val="center"/>
              <w:rPr>
                <w:rFonts w:ascii="Times New Roman" w:hAnsi="Times New Roman"/>
                <w:sz w:val="24"/>
                <w:szCs w:val="24"/>
                <w:shd w:val="clear" w:color="auto" w:fill="FFFFFF"/>
              </w:rPr>
            </w:pPr>
            <w:r w:rsidRPr="00B85A64">
              <w:rPr>
                <w:rFonts w:ascii="Times New Roman" w:hAnsi="Times New Roman"/>
                <w:sz w:val="24"/>
                <w:szCs w:val="24"/>
                <w:shd w:val="clear" w:color="auto" w:fill="FFFFFF"/>
              </w:rPr>
              <w:t>11</w:t>
            </w:r>
          </w:p>
        </w:tc>
        <w:tc>
          <w:tcPr>
            <w:tcW w:w="4596" w:type="dxa"/>
          </w:tcPr>
          <w:p w:rsidR="00B85A64" w:rsidRPr="00B85A64" w:rsidRDefault="00B85A64" w:rsidP="00B85A64">
            <w:pPr>
              <w:widowControl w:val="0"/>
              <w:contextualSpacing/>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t>Запуск в  ноябре 2017 г. ООО «Макеевский литейный завод», специализирующегося на выпуске чугунных литых мелющих тел для измельчения руд, цементного клинкера.</w:t>
            </w:r>
          </w:p>
        </w:tc>
        <w:tc>
          <w:tcPr>
            <w:tcW w:w="4596" w:type="dxa"/>
          </w:tcPr>
          <w:p w:rsidR="00B85A64" w:rsidRPr="00B85A64" w:rsidRDefault="00B85A64" w:rsidP="00B85A64">
            <w:pPr>
              <w:shd w:val="clear" w:color="auto" w:fill="FFFFFF"/>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t xml:space="preserve">Создание рабочих мест, реализация производственного потенциала ДНР. </w:t>
            </w:r>
          </w:p>
        </w:tc>
      </w:tr>
      <w:tr w:rsidR="00B85A64" w:rsidRPr="00B85A64" w:rsidTr="00BB1D7C">
        <w:trPr>
          <w:trHeight w:val="42"/>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11</w:t>
            </w:r>
          </w:p>
        </w:tc>
        <w:tc>
          <w:tcPr>
            <w:tcW w:w="4596" w:type="dxa"/>
          </w:tcPr>
          <w:p w:rsidR="00B85A64" w:rsidRPr="00B85A64" w:rsidRDefault="00B85A64" w:rsidP="00B85A64">
            <w:pPr>
              <w:widowControl w:val="0"/>
              <w:contextualSpacing/>
              <w:jc w:val="both"/>
              <w:rPr>
                <w:rFonts w:ascii="Times New Roman" w:hAnsi="Times New Roman"/>
                <w:sz w:val="24"/>
                <w:szCs w:val="24"/>
                <w:shd w:val="clear" w:color="auto" w:fill="FFFFFF"/>
              </w:rPr>
            </w:pPr>
            <w:r w:rsidRPr="00B85A64">
              <w:rPr>
                <w:rFonts w:ascii="Times New Roman" w:hAnsi="Times New Roman"/>
                <w:bCs/>
                <w:sz w:val="24"/>
                <w:szCs w:val="24"/>
              </w:rPr>
              <w:t xml:space="preserve">Принятие Правительством РФ нормативных актов, ограничивающих наценку экспедиторов, работающих с предприятиями Донбасса, в 3%.  </w:t>
            </w:r>
          </w:p>
        </w:tc>
        <w:tc>
          <w:tcPr>
            <w:tcW w:w="4596" w:type="dxa"/>
          </w:tcPr>
          <w:p w:rsidR="00B85A64" w:rsidRPr="00B85A64" w:rsidRDefault="00B85A64" w:rsidP="00B85A64">
            <w:pPr>
              <w:widowControl w:val="0"/>
              <w:contextualSpacing/>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t>Снижение экспортно-импортных пошлин и затрат на логистический сервис.</w:t>
            </w:r>
          </w:p>
        </w:tc>
      </w:tr>
      <w:tr w:rsidR="00B85A64" w:rsidRPr="00B85A64" w:rsidTr="00BB1D7C">
        <w:trPr>
          <w:jc w:val="center"/>
        </w:trPr>
        <w:tc>
          <w:tcPr>
            <w:tcW w:w="9572" w:type="dxa"/>
            <w:gridSpan w:val="3"/>
            <w:tcBorders>
              <w:top w:val="nil"/>
              <w:left w:val="nil"/>
              <w:right w:val="nil"/>
            </w:tcBorders>
          </w:tcPr>
          <w:p w:rsidR="00B85A64" w:rsidRPr="00B85A64" w:rsidRDefault="00B85A64" w:rsidP="00B85A64">
            <w:pPr>
              <w:ind w:firstLine="709"/>
              <w:jc w:val="right"/>
              <w:rPr>
                <w:rFonts w:ascii="Times New Roman" w:hAnsi="Times New Roman"/>
                <w:sz w:val="28"/>
                <w:szCs w:val="24"/>
              </w:rPr>
            </w:pPr>
            <w:r w:rsidRPr="00B85A64">
              <w:rPr>
                <w:rFonts w:ascii="Times New Roman" w:hAnsi="Times New Roman"/>
                <w:sz w:val="28"/>
                <w:szCs w:val="28"/>
              </w:rPr>
              <w:t>Продолжение табл.1</w:t>
            </w:r>
          </w:p>
        </w:tc>
      </w:tr>
      <w:tr w:rsidR="00B85A64" w:rsidRPr="00B85A64" w:rsidTr="00BB1D7C">
        <w:trPr>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1</w:t>
            </w:r>
          </w:p>
        </w:tc>
        <w:tc>
          <w:tcPr>
            <w:tcW w:w="4596" w:type="dxa"/>
          </w:tcPr>
          <w:p w:rsidR="00B85A64" w:rsidRPr="00B85A64" w:rsidRDefault="00B85A64" w:rsidP="00B85A64">
            <w:pPr>
              <w:widowControl w:val="0"/>
              <w:contextualSpacing/>
              <w:jc w:val="center"/>
              <w:rPr>
                <w:rFonts w:ascii="Times New Roman" w:hAnsi="Times New Roman"/>
                <w:iCs/>
                <w:sz w:val="24"/>
                <w:szCs w:val="24"/>
              </w:rPr>
            </w:pPr>
            <w:r w:rsidRPr="00B85A64">
              <w:rPr>
                <w:rFonts w:ascii="Times New Roman" w:hAnsi="Times New Roman"/>
                <w:iCs/>
                <w:sz w:val="24"/>
                <w:szCs w:val="24"/>
              </w:rPr>
              <w:t>2</w:t>
            </w:r>
          </w:p>
        </w:tc>
        <w:tc>
          <w:tcPr>
            <w:tcW w:w="4596"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3</w:t>
            </w:r>
          </w:p>
        </w:tc>
      </w:tr>
      <w:tr w:rsidR="00B85A64" w:rsidRPr="00B85A64" w:rsidTr="00BB1D7C">
        <w:trPr>
          <w:trHeight w:val="42"/>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12</w:t>
            </w:r>
          </w:p>
        </w:tc>
        <w:tc>
          <w:tcPr>
            <w:tcW w:w="4596" w:type="dxa"/>
          </w:tcPr>
          <w:p w:rsidR="00B85A64" w:rsidRPr="00B85A64" w:rsidRDefault="00B85A64" w:rsidP="00B85A64">
            <w:pPr>
              <w:widowControl w:val="0"/>
              <w:contextualSpacing/>
              <w:jc w:val="both"/>
              <w:rPr>
                <w:rFonts w:ascii="Times New Roman" w:hAnsi="Times New Roman"/>
                <w:bCs/>
                <w:sz w:val="24"/>
                <w:szCs w:val="24"/>
              </w:rPr>
            </w:pPr>
            <w:r w:rsidRPr="00B85A64">
              <w:rPr>
                <w:rFonts w:ascii="Times New Roman" w:hAnsi="Times New Roman"/>
                <w:bCs/>
                <w:sz w:val="24"/>
                <w:szCs w:val="24"/>
              </w:rPr>
              <w:t xml:space="preserve">Содействие Правительства РФ в решении вопросов обеспечения сырьем  металлургических предприятий ДНР, </w:t>
            </w:r>
            <w:r w:rsidRPr="00B85A64">
              <w:rPr>
                <w:rFonts w:ascii="Times New Roman" w:hAnsi="Times New Roman"/>
                <w:bCs/>
                <w:sz w:val="24"/>
                <w:szCs w:val="24"/>
              </w:rPr>
              <w:lastRenderedPageBreak/>
              <w:t>основные поставщики железной руды – металлургические холдинги «Северсталь» и «Металлоинвест», «Ковдорский горно-обогатительный комбинат (ГОК), входящий в холдинг «Еврохим».</w:t>
            </w:r>
          </w:p>
        </w:tc>
        <w:tc>
          <w:tcPr>
            <w:tcW w:w="4596" w:type="dxa"/>
          </w:tcPr>
          <w:p w:rsidR="00B85A64" w:rsidRPr="00B85A64" w:rsidRDefault="00B85A64" w:rsidP="00B85A64">
            <w:pPr>
              <w:widowControl w:val="0"/>
              <w:contextualSpacing/>
              <w:jc w:val="both"/>
              <w:rPr>
                <w:rFonts w:ascii="Times New Roman" w:hAnsi="Times New Roman"/>
                <w:sz w:val="24"/>
                <w:szCs w:val="24"/>
                <w:shd w:val="clear" w:color="auto" w:fill="FFFFFF"/>
              </w:rPr>
            </w:pPr>
            <w:r w:rsidRPr="00B85A64">
              <w:rPr>
                <w:rFonts w:ascii="Times New Roman" w:hAnsi="Times New Roman"/>
                <w:sz w:val="24"/>
                <w:szCs w:val="24"/>
                <w:shd w:val="clear" w:color="auto" w:fill="FFFFFF"/>
              </w:rPr>
              <w:lastRenderedPageBreak/>
              <w:t xml:space="preserve">Начало поставок железной руды и обеспечение металлургических предприятий ДНР сырьем. Выделение </w:t>
            </w:r>
            <w:r w:rsidRPr="00B85A64">
              <w:rPr>
                <w:rFonts w:ascii="Times New Roman" w:hAnsi="Times New Roman"/>
                <w:sz w:val="24"/>
                <w:szCs w:val="24"/>
                <w:shd w:val="clear" w:color="auto" w:fill="FFFFFF"/>
              </w:rPr>
              <w:lastRenderedPageBreak/>
              <w:t>Росрезерву 10 миллиардов рублей на закупку сырья и материалов металлургической промышленности (планируется, что через Росрезерв будут осуществляться поставки сырья в ДНР).</w:t>
            </w:r>
          </w:p>
        </w:tc>
      </w:tr>
      <w:tr w:rsidR="00B85A64" w:rsidRPr="00B85A64" w:rsidTr="00BB1D7C">
        <w:trPr>
          <w:trHeight w:val="42"/>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lastRenderedPageBreak/>
              <w:t>13</w:t>
            </w:r>
          </w:p>
        </w:tc>
        <w:tc>
          <w:tcPr>
            <w:tcW w:w="4596" w:type="dxa"/>
          </w:tcPr>
          <w:p w:rsidR="00B85A64" w:rsidRPr="00B85A64" w:rsidRDefault="00B85A64" w:rsidP="00B85A64">
            <w:pPr>
              <w:widowControl w:val="0"/>
              <w:contextualSpacing/>
              <w:jc w:val="both"/>
              <w:rPr>
                <w:rFonts w:ascii="Times New Roman" w:hAnsi="Times New Roman"/>
                <w:bCs/>
                <w:sz w:val="24"/>
                <w:szCs w:val="24"/>
              </w:rPr>
            </w:pPr>
            <w:r w:rsidRPr="00B85A64">
              <w:rPr>
                <w:rFonts w:ascii="Times New Roman" w:hAnsi="Times New Roman"/>
                <w:bCs/>
                <w:sz w:val="24"/>
                <w:szCs w:val="24"/>
              </w:rPr>
              <w:t>Заключение контрактов с ОАО «РЖД» и АО «РЖД Логистика» на логистическое обслуживание.</w:t>
            </w:r>
          </w:p>
        </w:tc>
        <w:tc>
          <w:tcPr>
            <w:tcW w:w="4596" w:type="dxa"/>
          </w:tcPr>
          <w:p w:rsidR="00B85A64" w:rsidRPr="00B85A64" w:rsidRDefault="00B85A64" w:rsidP="00B85A64">
            <w:pPr>
              <w:widowControl w:val="0"/>
              <w:contextualSpacing/>
              <w:jc w:val="both"/>
              <w:rPr>
                <w:rFonts w:ascii="Times New Roman" w:hAnsi="Times New Roman"/>
                <w:sz w:val="24"/>
                <w:szCs w:val="24"/>
                <w:shd w:val="clear" w:color="auto" w:fill="FFFFFF"/>
              </w:rPr>
            </w:pPr>
            <w:r w:rsidRPr="00B85A64">
              <w:rPr>
                <w:rFonts w:ascii="Times New Roman" w:hAnsi="Times New Roman"/>
                <w:bCs/>
                <w:sz w:val="24"/>
                <w:szCs w:val="24"/>
              </w:rPr>
              <w:t>Снижение затрат на логистический сервис, получение скидки в размере 25% для перевозчиков железорудного сырья на приграничные с ЛДНР станции.</w:t>
            </w:r>
          </w:p>
        </w:tc>
      </w:tr>
      <w:tr w:rsidR="00B85A64" w:rsidRPr="00B85A64" w:rsidTr="00BB1D7C">
        <w:trPr>
          <w:trHeight w:val="42"/>
          <w:jc w:val="center"/>
        </w:trPr>
        <w:tc>
          <w:tcPr>
            <w:tcW w:w="380" w:type="dxa"/>
          </w:tcPr>
          <w:p w:rsidR="00B85A64" w:rsidRPr="00B85A64" w:rsidRDefault="00B85A64" w:rsidP="00B85A64">
            <w:pPr>
              <w:widowControl w:val="0"/>
              <w:contextualSpacing/>
              <w:jc w:val="center"/>
              <w:rPr>
                <w:rFonts w:ascii="Times New Roman" w:hAnsi="Times New Roman"/>
                <w:sz w:val="24"/>
                <w:szCs w:val="24"/>
              </w:rPr>
            </w:pPr>
            <w:r w:rsidRPr="00B85A64">
              <w:rPr>
                <w:rFonts w:ascii="Times New Roman" w:hAnsi="Times New Roman"/>
                <w:sz w:val="24"/>
                <w:szCs w:val="24"/>
              </w:rPr>
              <w:t>14</w:t>
            </w:r>
          </w:p>
        </w:tc>
        <w:tc>
          <w:tcPr>
            <w:tcW w:w="4596" w:type="dxa"/>
          </w:tcPr>
          <w:p w:rsidR="00B85A64" w:rsidRPr="00B85A64" w:rsidRDefault="00B85A64" w:rsidP="00B85A64">
            <w:pPr>
              <w:widowControl w:val="0"/>
              <w:contextualSpacing/>
              <w:jc w:val="both"/>
              <w:rPr>
                <w:rFonts w:ascii="Times New Roman" w:hAnsi="Times New Roman"/>
                <w:bCs/>
                <w:sz w:val="24"/>
                <w:szCs w:val="24"/>
              </w:rPr>
            </w:pPr>
            <w:r w:rsidRPr="00B85A64">
              <w:rPr>
                <w:rFonts w:ascii="Times New Roman" w:hAnsi="Times New Roman"/>
                <w:bCs/>
                <w:sz w:val="24"/>
                <w:szCs w:val="24"/>
              </w:rPr>
              <w:t>Содействие продвижению продукции на внешние рынки со стороны Министерства экономического развития и Министерства промышленной политики и торговли ДНР.</w:t>
            </w:r>
          </w:p>
        </w:tc>
        <w:tc>
          <w:tcPr>
            <w:tcW w:w="4596" w:type="dxa"/>
          </w:tcPr>
          <w:p w:rsidR="00B85A64" w:rsidRPr="00B85A64" w:rsidRDefault="00B85A64" w:rsidP="00B85A64">
            <w:pPr>
              <w:widowControl w:val="0"/>
              <w:contextualSpacing/>
              <w:jc w:val="both"/>
              <w:rPr>
                <w:rFonts w:ascii="Times New Roman" w:hAnsi="Times New Roman"/>
                <w:bCs/>
                <w:sz w:val="24"/>
                <w:szCs w:val="24"/>
              </w:rPr>
            </w:pPr>
            <w:r w:rsidRPr="00B85A64">
              <w:rPr>
                <w:rFonts w:ascii="Times New Roman" w:hAnsi="Times New Roman"/>
                <w:bCs/>
                <w:sz w:val="24"/>
                <w:szCs w:val="24"/>
              </w:rPr>
              <w:t>Запущен инвестиционный портал с доступным каталогом предприятий ДНР, открыта торгово-промышленная палата ДНР, экспортная интернет-площадка для иностранных покупателей, в процессе разработки  электронная торговая площадка ДНР.</w:t>
            </w:r>
          </w:p>
        </w:tc>
      </w:tr>
    </w:tbl>
    <w:p w:rsidR="00B85A64" w:rsidRPr="00B85A64" w:rsidRDefault="00B85A64" w:rsidP="00B85A64">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85A64">
        <w:rPr>
          <w:rFonts w:ascii="Times New Roman" w:eastAsia="Times New Roman" w:hAnsi="Times New Roman" w:cs="Times New Roman"/>
          <w:sz w:val="24"/>
          <w:szCs w:val="24"/>
          <w:lang w:eastAsia="ru-RU"/>
        </w:rPr>
        <w:t>Разработано автором на основе [3; 4; 5]</w:t>
      </w:r>
    </w:p>
    <w:p w:rsidR="00B85A64" w:rsidRPr="00B85A64" w:rsidRDefault="00B85A64" w:rsidP="00B85A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85A64" w:rsidRPr="00B85A64" w:rsidRDefault="00B85A64" w:rsidP="00B85A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5A64">
        <w:rPr>
          <w:rFonts w:ascii="Times New Roman" w:eastAsia="Times New Roman" w:hAnsi="Times New Roman" w:cs="Times New Roman"/>
          <w:sz w:val="28"/>
          <w:szCs w:val="28"/>
          <w:lang w:eastAsia="ru-RU"/>
        </w:rPr>
        <w:t>Вместе с тем, несмотря на позитивные сдвиги в развитии металлургического комплекса ДНР, остается целый ряд проблем, решение которых является первоочередной задачей.</w:t>
      </w:r>
    </w:p>
    <w:p w:rsidR="00B85A64" w:rsidRPr="00B85A64" w:rsidRDefault="00B85A64" w:rsidP="00B85A64">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B85A64">
        <w:rPr>
          <w:rFonts w:ascii="Times New Roman" w:eastAsia="Times New Roman" w:hAnsi="Times New Roman" w:cs="Times New Roman"/>
          <w:bCs/>
          <w:spacing w:val="-2"/>
          <w:sz w:val="28"/>
          <w:szCs w:val="28"/>
          <w:lang w:eastAsia="ru-RU"/>
        </w:rPr>
        <w:t>Критическими факторами, которые крайне негативно влияют на восстановление и развитие производственного-экономического потенциала металлургического комплекса Республики, в настоящее время являются:</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частичное или полное разрушение промышленной и логистической инфраструктуры вследствие продолжающихся боевых действий;</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устаревшая технико-технологическая база предприятий, высокая энерго- и ресурсоемкость производимой металлопродукции, и отсутствие инноваций;</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невозможность международной сертификации металлопродукции, произведенной в ДНР, и обеспечения сбыта продукции на мировом рынке металлопродукции из-за дипломатической изоляции Республики;</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разрыв кооперационных связей с поставщиками сырья и материалов: работа под заказ, перебои с поставками сырья или полное отсутствие сырьевой базы;</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металлургия и коксохимия являются видами экономической деятельности, ориентированными на экспорт, поэтому в условиях политической изоляции достичь рентабельной работы очень сложно, в особенности для тех предприятий, которые ориентированы на рынки Европы и Азии;</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отсутствие возможности напрямую работать с российскими контрагентами и участвовать в российских тендерах в силу действующей системы санкций;</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широкая сеть посредников и контрагентов, которые строят сложные и затратные схемы цепей поставок, внося в себестоимость металлопродукции большой процент собственной прибыли, что снижает конкурентные возможности отечественных производителей;</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lastRenderedPageBreak/>
        <w:t>неспособность предприятий вследствие боевых действий, нарушенных финансово-хозяйственных связей и вынужденных длительных простоев выйти в настоящее время на оптимальную мощность (например, ГП «ЕМЗ» работает всего на 36% потенциальной мощности, а для обеспечения безубыточности объемы производства должны быть почти вдвое выше);</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простои вследствие отсутствия рынков сбыта небольших металлургических предприятий, работающих вне сферы ЗАО «Внешторгсервис»: «Донецкий металлопрокатный завод», имеющий небольшие мощности (в 2016 г. произведено 14,5 тысяч т металлопродукции), ГП «Юзовский металлургический завод», созданный на базе «Донецкого электросталеплавильного завода» (бывший «Истил»), способный производить около 1 млн т стали в год;</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невозможность обеспечения полной загрузки предприятий металлургического комплекса вследствие нехватки сырья для коксохимии: для бесперебойной работы промышленности ДНР требуется порядка 5 млн. т коксового угля в год, в то время, как собственная добыча такого угля на ГП «Шахта им. Засядько» – около 2,5-3 млн. т.;</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высокие экспортно-импортные пошлины, достигающие в отдельных случаях 25-35%;</w:t>
      </w:r>
    </w:p>
    <w:p w:rsidR="00B85A64" w:rsidRPr="00B85A64" w:rsidRDefault="00B85A64" w:rsidP="00B85A64">
      <w:pPr>
        <w:widowControl w:val="0"/>
        <w:numPr>
          <w:ilvl w:val="0"/>
          <w:numId w:val="1"/>
        </w:numPr>
        <w:tabs>
          <w:tab w:val="left" w:pos="1080"/>
        </w:tabs>
        <w:autoSpaceDE w:val="0"/>
        <w:autoSpaceDN w:val="0"/>
        <w:adjustRightInd w:val="0"/>
        <w:spacing w:after="0" w:line="240" w:lineRule="auto"/>
        <w:ind w:firstLine="720"/>
        <w:contextualSpacing/>
        <w:jc w:val="both"/>
        <w:rPr>
          <w:rFonts w:ascii="Times New Roman" w:eastAsia="Calibri" w:hAnsi="Times New Roman" w:cs="Times New Roman"/>
          <w:bCs/>
          <w:spacing w:val="-2"/>
          <w:sz w:val="28"/>
          <w:szCs w:val="28"/>
        </w:rPr>
      </w:pPr>
      <w:r w:rsidRPr="00B85A64">
        <w:rPr>
          <w:rFonts w:ascii="Times New Roman" w:eastAsia="Calibri" w:hAnsi="Times New Roman" w:cs="Times New Roman"/>
          <w:bCs/>
          <w:spacing w:val="-2"/>
          <w:sz w:val="28"/>
          <w:szCs w:val="28"/>
        </w:rPr>
        <w:t xml:space="preserve">большой дефицит высококвалифицированных кадров. </w:t>
      </w:r>
    </w:p>
    <w:p w:rsidR="00B85A64" w:rsidRPr="00B85A64" w:rsidRDefault="00B85A64" w:rsidP="00B85A64">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B85A64">
        <w:rPr>
          <w:rFonts w:ascii="Times New Roman" w:eastAsia="Times New Roman" w:hAnsi="Times New Roman" w:cs="Times New Roman"/>
          <w:bCs/>
          <w:spacing w:val="-2"/>
          <w:sz w:val="28"/>
          <w:szCs w:val="28"/>
          <w:lang w:eastAsia="ru-RU"/>
        </w:rPr>
        <w:t xml:space="preserve"> Следовательно, решить перечисленные проблемы можно только за счет привлечения значительных внешних инвестиций, которые необходимы для модернизации производства, закупок современного оборудования, внедрения передовых методов управления и формирования новой системы логистического сервиса. Однако, коррупционные схемы поставок, непрозрачность хозяйственной деятельности ЗАО «Внешторгсервис» в сочетании с экономическим кризисом и низкой покупательной способностью субъектов хозяйствования ухудшает инвестиционный климат в Республике, а близость к зоне боевых действий представляет угрозу для перспектив будущей деятельности инвесторов на рынке ДНР. Одновременно с этим, дипломатическая изоляция Республики снижает экспортные возможности предприятий. Поэтому реальное восстановление производственного и экономического потенциала металлургического комплекса Донбасса начнется только в случае международного признания ДНР, когда предприятия смогут свободно конструировать эффективные цепи поставок и выстраивать торгово-экономические связи с зарубежными партнерами контрагентами. </w:t>
      </w:r>
    </w:p>
    <w:p w:rsidR="00B85A64" w:rsidRPr="00B85A64" w:rsidRDefault="00B85A64" w:rsidP="00B85A64">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B85A64">
        <w:rPr>
          <w:rFonts w:ascii="Times New Roman" w:eastAsia="Times New Roman" w:hAnsi="Times New Roman" w:cs="Times New Roman"/>
          <w:b/>
          <w:bCs/>
          <w:spacing w:val="-2"/>
          <w:sz w:val="28"/>
          <w:szCs w:val="28"/>
          <w:lang w:eastAsia="ru-RU"/>
        </w:rPr>
        <w:t>Выводы.</w:t>
      </w:r>
      <w:r w:rsidRPr="00B85A64">
        <w:rPr>
          <w:rFonts w:ascii="Times New Roman" w:eastAsia="Times New Roman" w:hAnsi="Times New Roman" w:cs="Times New Roman"/>
          <w:bCs/>
          <w:spacing w:val="-2"/>
          <w:sz w:val="28"/>
          <w:szCs w:val="28"/>
          <w:lang w:eastAsia="ru-RU"/>
        </w:rPr>
        <w:t xml:space="preserve"> Таким образом, для преодоления негативных тенденций в развитии и решения проблем обеспечения деятельности металлургического комплекса Донбасса требуется комплексный подход, предполагающий создание современного механизма управления предприятиями. Он должен быть ориентирован на обеспечение эффективной работы, создание устойчивых цепей поставок и инновационной системы логистического сервиса.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B85A64" w:rsidRPr="00B85A64" w:rsidTr="00BB1D7C">
        <w:trPr>
          <w:jc w:val="center"/>
        </w:trPr>
        <w:tc>
          <w:tcPr>
            <w:tcW w:w="5000" w:type="pct"/>
            <w:gridSpan w:val="2"/>
          </w:tcPr>
          <w:p w:rsidR="00B85A64" w:rsidRPr="00B85A64" w:rsidRDefault="00B85A64" w:rsidP="00B85A64">
            <w:pPr>
              <w:ind w:firstLine="709"/>
              <w:jc w:val="center"/>
              <w:rPr>
                <w:rFonts w:ascii="Times New Roman" w:hAnsi="Times New Roman"/>
                <w:b/>
                <w:sz w:val="28"/>
                <w:szCs w:val="28"/>
              </w:rPr>
            </w:pPr>
            <w:r w:rsidRPr="00B85A64">
              <w:rPr>
                <w:rFonts w:ascii="Times New Roman" w:hAnsi="Times New Roman"/>
                <w:b/>
                <w:sz w:val="28"/>
                <w:szCs w:val="28"/>
              </w:rPr>
              <w:t>Список литературы</w:t>
            </w:r>
          </w:p>
        </w:tc>
      </w:tr>
      <w:tr w:rsidR="00B85A64" w:rsidRPr="00B85A64" w:rsidTr="00BB1D7C">
        <w:trPr>
          <w:jc w:val="center"/>
        </w:trPr>
        <w:tc>
          <w:tcPr>
            <w:tcW w:w="293" w:type="pct"/>
          </w:tcPr>
          <w:p w:rsidR="00B85A64" w:rsidRPr="00B85A64" w:rsidRDefault="00B85A64" w:rsidP="00B85A64">
            <w:pPr>
              <w:widowControl w:val="0"/>
              <w:numPr>
                <w:ilvl w:val="0"/>
                <w:numId w:val="2"/>
              </w:numPr>
              <w:contextualSpacing/>
              <w:jc w:val="both"/>
              <w:rPr>
                <w:rFonts w:ascii="Times New Roman" w:eastAsia="Calibri" w:hAnsi="Times New Roman"/>
                <w:sz w:val="24"/>
                <w:szCs w:val="24"/>
              </w:rPr>
            </w:pPr>
          </w:p>
        </w:tc>
        <w:tc>
          <w:tcPr>
            <w:tcW w:w="4707" w:type="pct"/>
          </w:tcPr>
          <w:p w:rsidR="00B85A64" w:rsidRPr="00B85A64" w:rsidRDefault="00B85A64" w:rsidP="00B85A64">
            <w:pPr>
              <w:widowControl w:val="0"/>
              <w:jc w:val="both"/>
              <w:rPr>
                <w:rFonts w:ascii="Times New Roman" w:hAnsi="Times New Roman"/>
                <w:sz w:val="24"/>
                <w:szCs w:val="24"/>
              </w:rPr>
            </w:pPr>
            <w:r w:rsidRPr="00B85A64">
              <w:rPr>
                <w:rFonts w:ascii="Times New Roman" w:hAnsi="Times New Roman"/>
                <w:sz w:val="24"/>
                <w:szCs w:val="24"/>
              </w:rPr>
              <w:t xml:space="preserve">Грановский А. Деятельность Минпромторга направлена на возобновление работы </w:t>
            </w:r>
            <w:r w:rsidRPr="00B85A64">
              <w:rPr>
                <w:rFonts w:ascii="Times New Roman" w:hAnsi="Times New Roman"/>
                <w:sz w:val="24"/>
                <w:szCs w:val="24"/>
              </w:rPr>
              <w:lastRenderedPageBreak/>
              <w:t xml:space="preserve">предприятий / А. Грановский // Официальный сайт Министерства промышленности и торговли Донецкой Народной республики. – Режим доступа: http://mptdnr.ru/news/710-aleksei-granovskii-dejatelnost-minpromtorga-napravlena-na-vozobnovlenie-raboty-predprijatii.html.  </w:t>
            </w:r>
          </w:p>
        </w:tc>
      </w:tr>
      <w:tr w:rsidR="00B85A64" w:rsidRPr="00B85A64" w:rsidTr="00BB1D7C">
        <w:trPr>
          <w:jc w:val="center"/>
        </w:trPr>
        <w:tc>
          <w:tcPr>
            <w:tcW w:w="293" w:type="pct"/>
          </w:tcPr>
          <w:p w:rsidR="00B85A64" w:rsidRPr="00B85A64" w:rsidRDefault="00B85A64" w:rsidP="00B85A64">
            <w:pPr>
              <w:widowControl w:val="0"/>
              <w:numPr>
                <w:ilvl w:val="0"/>
                <w:numId w:val="2"/>
              </w:numPr>
              <w:contextualSpacing/>
              <w:jc w:val="both"/>
              <w:rPr>
                <w:rFonts w:ascii="Times New Roman" w:eastAsia="Calibri" w:hAnsi="Times New Roman"/>
                <w:sz w:val="24"/>
                <w:szCs w:val="24"/>
              </w:rPr>
            </w:pPr>
          </w:p>
        </w:tc>
        <w:tc>
          <w:tcPr>
            <w:tcW w:w="4707" w:type="pct"/>
          </w:tcPr>
          <w:p w:rsidR="00B85A64" w:rsidRPr="00B85A64" w:rsidRDefault="00B85A64" w:rsidP="00B85A64">
            <w:pPr>
              <w:widowControl w:val="0"/>
              <w:jc w:val="both"/>
              <w:rPr>
                <w:rFonts w:ascii="Times New Roman" w:hAnsi="Times New Roman"/>
                <w:sz w:val="24"/>
                <w:szCs w:val="24"/>
              </w:rPr>
            </w:pPr>
            <w:r w:rsidRPr="00B85A64">
              <w:rPr>
                <w:rFonts w:ascii="Times New Roman" w:hAnsi="Times New Roman"/>
                <w:sz w:val="24"/>
                <w:szCs w:val="24"/>
              </w:rPr>
              <w:t>Грановский А. Промышленный комплекс Республики наращивает объемы производства / А. Грановский // Официальный сайт Народного совета Донецкой Народной Республики. – Режим доступа: http://smdnr.ru/aleksej-granovskij-promyshlennyj-kompleks-respubliki-narashhivaet-obemy-proizvodstva/.</w:t>
            </w:r>
          </w:p>
        </w:tc>
      </w:tr>
      <w:tr w:rsidR="00B85A64" w:rsidRPr="00B85A64" w:rsidTr="00BB1D7C">
        <w:trPr>
          <w:jc w:val="center"/>
        </w:trPr>
        <w:tc>
          <w:tcPr>
            <w:tcW w:w="293" w:type="pct"/>
          </w:tcPr>
          <w:p w:rsidR="00B85A64" w:rsidRPr="00B85A64" w:rsidRDefault="00B85A64" w:rsidP="00B85A64">
            <w:pPr>
              <w:widowControl w:val="0"/>
              <w:numPr>
                <w:ilvl w:val="0"/>
                <w:numId w:val="2"/>
              </w:numPr>
              <w:contextualSpacing/>
              <w:jc w:val="both"/>
              <w:rPr>
                <w:rFonts w:ascii="Times New Roman" w:eastAsia="Calibri" w:hAnsi="Times New Roman"/>
                <w:sz w:val="24"/>
                <w:szCs w:val="24"/>
              </w:rPr>
            </w:pPr>
          </w:p>
        </w:tc>
        <w:tc>
          <w:tcPr>
            <w:tcW w:w="4707" w:type="pct"/>
          </w:tcPr>
          <w:p w:rsidR="00B85A64" w:rsidRPr="00B85A64" w:rsidRDefault="00B85A64" w:rsidP="00B85A64">
            <w:pPr>
              <w:widowControl w:val="0"/>
              <w:jc w:val="both"/>
              <w:rPr>
                <w:rFonts w:ascii="Times New Roman" w:hAnsi="Times New Roman"/>
                <w:sz w:val="24"/>
                <w:szCs w:val="24"/>
              </w:rPr>
            </w:pPr>
            <w:r w:rsidRPr="00B85A64">
              <w:rPr>
                <w:rFonts w:ascii="Times New Roman" w:hAnsi="Times New Roman"/>
                <w:sz w:val="24"/>
                <w:szCs w:val="24"/>
              </w:rPr>
              <w:t>И. о. министра промышленности и торговли Алексей Грановский подвел итоги работы за 2017 год: официальный сайт Народного совета Донецкой Народной Республики. – Режим доступа: http://dnrsovet.su/i-o-ministra-promyshlennosti-i-torgovli-aleksej-granovskij-podvel-itogi-raboty-za-2017-god/.</w:t>
            </w:r>
          </w:p>
        </w:tc>
      </w:tr>
      <w:tr w:rsidR="00B85A64" w:rsidRPr="00B85A64" w:rsidTr="00BB1D7C">
        <w:trPr>
          <w:jc w:val="center"/>
        </w:trPr>
        <w:tc>
          <w:tcPr>
            <w:tcW w:w="293" w:type="pct"/>
          </w:tcPr>
          <w:p w:rsidR="00B85A64" w:rsidRPr="00B85A64" w:rsidRDefault="00B85A64" w:rsidP="00B85A64">
            <w:pPr>
              <w:widowControl w:val="0"/>
              <w:numPr>
                <w:ilvl w:val="0"/>
                <w:numId w:val="2"/>
              </w:numPr>
              <w:contextualSpacing/>
              <w:jc w:val="both"/>
              <w:rPr>
                <w:rFonts w:ascii="Times New Roman" w:eastAsia="Calibri" w:hAnsi="Times New Roman"/>
                <w:sz w:val="24"/>
                <w:szCs w:val="24"/>
              </w:rPr>
            </w:pPr>
          </w:p>
        </w:tc>
        <w:tc>
          <w:tcPr>
            <w:tcW w:w="4707" w:type="pct"/>
          </w:tcPr>
          <w:p w:rsidR="00B85A64" w:rsidRPr="00B85A64" w:rsidRDefault="00B85A64" w:rsidP="00B85A64">
            <w:pPr>
              <w:widowControl w:val="0"/>
              <w:jc w:val="both"/>
              <w:rPr>
                <w:rFonts w:ascii="Times New Roman" w:hAnsi="Times New Roman"/>
                <w:sz w:val="24"/>
                <w:szCs w:val="24"/>
              </w:rPr>
            </w:pPr>
            <w:r w:rsidRPr="00B85A64">
              <w:rPr>
                <w:rFonts w:ascii="Times New Roman" w:hAnsi="Times New Roman"/>
                <w:sz w:val="24"/>
                <w:szCs w:val="24"/>
              </w:rPr>
              <w:t xml:space="preserve">Ильяшевич А. Блокада Донбасса: нелегкое положение тяжелой промышленности / А. Ильяшевич // Деловой Донбасс. – Режим доступа: </w:t>
            </w:r>
            <w:hyperlink r:id="rId5" w:history="1">
              <w:r w:rsidRPr="00B85A64">
                <w:rPr>
                  <w:rFonts w:ascii="Times New Roman" w:hAnsi="Times New Roman"/>
                  <w:color w:val="0000FF"/>
                  <w:sz w:val="24"/>
                  <w:szCs w:val="24"/>
                  <w:u w:val="single"/>
                </w:rPr>
                <w:t>http://delovoydonbass.ru/news/</w:t>
              </w:r>
            </w:hyperlink>
            <w:r w:rsidRPr="00B85A64">
              <w:rPr>
                <w:rFonts w:ascii="Times New Roman" w:hAnsi="Times New Roman"/>
                <w:sz w:val="24"/>
                <w:szCs w:val="24"/>
              </w:rPr>
              <w:t xml:space="preserve"> economy/blockade_of_donbass_the_difficult_position_of_heavy_industry/. </w:t>
            </w:r>
          </w:p>
        </w:tc>
      </w:tr>
      <w:tr w:rsidR="00B85A64" w:rsidRPr="00B85A64" w:rsidTr="00BB1D7C">
        <w:trPr>
          <w:jc w:val="center"/>
        </w:trPr>
        <w:tc>
          <w:tcPr>
            <w:tcW w:w="293" w:type="pct"/>
          </w:tcPr>
          <w:p w:rsidR="00B85A64" w:rsidRPr="00B85A64" w:rsidRDefault="00B85A64" w:rsidP="00B85A64">
            <w:pPr>
              <w:widowControl w:val="0"/>
              <w:numPr>
                <w:ilvl w:val="0"/>
                <w:numId w:val="2"/>
              </w:numPr>
              <w:contextualSpacing/>
              <w:jc w:val="both"/>
              <w:rPr>
                <w:rFonts w:ascii="Times New Roman" w:eastAsia="Calibri" w:hAnsi="Times New Roman"/>
                <w:sz w:val="24"/>
                <w:szCs w:val="24"/>
              </w:rPr>
            </w:pPr>
          </w:p>
        </w:tc>
        <w:tc>
          <w:tcPr>
            <w:tcW w:w="4707" w:type="pct"/>
          </w:tcPr>
          <w:p w:rsidR="00B85A64" w:rsidRPr="00B85A64" w:rsidRDefault="00B85A64" w:rsidP="00B85A64">
            <w:pPr>
              <w:widowControl w:val="0"/>
              <w:jc w:val="both"/>
              <w:rPr>
                <w:rFonts w:ascii="Times New Roman" w:hAnsi="Times New Roman"/>
                <w:sz w:val="24"/>
                <w:szCs w:val="24"/>
              </w:rPr>
            </w:pPr>
            <w:r w:rsidRPr="00B85A64">
              <w:rPr>
                <w:rFonts w:ascii="Times New Roman" w:hAnsi="Times New Roman"/>
                <w:sz w:val="24"/>
                <w:szCs w:val="24"/>
              </w:rPr>
              <w:t>Экономика ДНР: есть ли жизнь после «национализации» // Русская народная линия: информационно-аналитическая служба. – Режим доступа: http://ruskline.ru/opp /2017/iyun/15 /ekonomika_dnr_est_li_zhizn_posle_nacionalizacii/.</w:t>
            </w:r>
          </w:p>
        </w:tc>
      </w:tr>
    </w:tbl>
    <w:p w:rsidR="00B85A64" w:rsidRPr="00B85A64" w:rsidRDefault="00B85A64" w:rsidP="00B85A64">
      <w:pPr>
        <w:spacing w:after="0" w:line="240" w:lineRule="auto"/>
        <w:ind w:firstLine="709"/>
        <w:jc w:val="both"/>
        <w:rPr>
          <w:rFonts w:ascii="Times New Roman" w:eastAsia="Times New Roman" w:hAnsi="Times New Roman" w:cs="Times New Roman"/>
          <w:b/>
          <w:bCs/>
          <w:sz w:val="28"/>
          <w:szCs w:val="28"/>
          <w:lang w:eastAsia="ru-RU"/>
        </w:rPr>
      </w:pPr>
    </w:p>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0CBE"/>
    <w:multiLevelType w:val="hybridMultilevel"/>
    <w:tmpl w:val="BD004ED4"/>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103C9E"/>
    <w:multiLevelType w:val="hybridMultilevel"/>
    <w:tmpl w:val="FD346714"/>
    <w:lvl w:ilvl="0" w:tplc="0C800F0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64"/>
    <w:rsid w:val="00B85A64"/>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982C5-D20D-4DD4-9511-A71AA6AD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A6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lovoydonbass.ru/new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2018-09-22T06:52:00Z</dcterms:created>
  <dcterms:modified xsi:type="dcterms:W3CDTF">2018-09-22T06:52:00Z</dcterms:modified>
</cp:coreProperties>
</file>