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5027"/>
      </w:tblGrid>
      <w:tr w:rsidR="005D7124" w:rsidRPr="005D7124" w:rsidTr="00BB1D7C">
        <w:trPr>
          <w:jc w:val="center"/>
        </w:trPr>
        <w:tc>
          <w:tcPr>
            <w:tcW w:w="9566" w:type="dxa"/>
            <w:gridSpan w:val="2"/>
            <w:hideMark/>
          </w:tcPr>
          <w:p w:rsidR="005D7124" w:rsidRPr="005D7124" w:rsidRDefault="005D7124" w:rsidP="005D7124">
            <w:pPr>
              <w:jc w:val="both"/>
              <w:rPr>
                <w:rFonts w:ascii="Times New Roman" w:hAnsi="Times New Roman"/>
                <w:b/>
                <w:sz w:val="28"/>
                <w:szCs w:val="24"/>
              </w:rPr>
            </w:pPr>
            <w:r w:rsidRPr="005D7124">
              <w:rPr>
                <w:rFonts w:ascii="Times New Roman" w:hAnsi="Times New Roman"/>
                <w:b/>
                <w:sz w:val="28"/>
                <w:szCs w:val="24"/>
              </w:rPr>
              <w:t>УДК 339.138</w:t>
            </w:r>
          </w:p>
        </w:tc>
      </w:tr>
      <w:tr w:rsidR="005D7124" w:rsidRPr="005D7124" w:rsidTr="00BB1D7C">
        <w:trPr>
          <w:jc w:val="center"/>
        </w:trPr>
        <w:tc>
          <w:tcPr>
            <w:tcW w:w="4320" w:type="dxa"/>
          </w:tcPr>
          <w:p w:rsidR="005D7124" w:rsidRPr="005D7124" w:rsidRDefault="005D7124" w:rsidP="005D7124">
            <w:pPr>
              <w:widowControl w:val="0"/>
              <w:jc w:val="right"/>
              <w:rPr>
                <w:rFonts w:ascii="Times New Roman" w:hAnsi="Times New Roman"/>
                <w:sz w:val="28"/>
                <w:szCs w:val="28"/>
              </w:rPr>
            </w:pPr>
          </w:p>
        </w:tc>
        <w:tc>
          <w:tcPr>
            <w:tcW w:w="5246" w:type="dxa"/>
            <w:tcMar>
              <w:left w:w="0" w:type="dxa"/>
              <w:right w:w="0" w:type="dxa"/>
            </w:tcMar>
          </w:tcPr>
          <w:p w:rsidR="005D7124" w:rsidRPr="005D7124" w:rsidRDefault="005D7124" w:rsidP="005D7124">
            <w:pPr>
              <w:numPr>
                <w:ilvl w:val="1"/>
                <w:numId w:val="0"/>
              </w:numPr>
              <w:tabs>
                <w:tab w:val="left" w:pos="709"/>
              </w:tabs>
              <w:suppressAutoHyphens/>
              <w:ind w:firstLine="709"/>
              <w:outlineLvl w:val="1"/>
              <w:rPr>
                <w:rFonts w:ascii="Times New Roman" w:hAnsi="Times New Roman"/>
                <w:b/>
                <w:bCs/>
                <w:sz w:val="28"/>
                <w:szCs w:val="28"/>
              </w:rPr>
            </w:pPr>
            <w:bookmarkStart w:id="0" w:name="_Toc518846412"/>
            <w:r w:rsidRPr="005D7124">
              <w:rPr>
                <w:rFonts w:ascii="Times New Roman" w:hAnsi="Times New Roman"/>
                <w:b/>
                <w:bCs/>
                <w:sz w:val="28"/>
                <w:szCs w:val="28"/>
              </w:rPr>
              <w:t>А.Г. Виноградов,</w:t>
            </w:r>
            <w:bookmarkEnd w:id="0"/>
            <w:r w:rsidRPr="005D7124">
              <w:rPr>
                <w:rFonts w:ascii="Times New Roman" w:hAnsi="Times New Roman"/>
                <w:b/>
                <w:bCs/>
                <w:sz w:val="28"/>
                <w:szCs w:val="28"/>
              </w:rPr>
              <w:t xml:space="preserve">  </w:t>
            </w:r>
          </w:p>
          <w:p w:rsidR="005D7124" w:rsidRPr="005D7124" w:rsidRDefault="005D7124" w:rsidP="005D7124">
            <w:pPr>
              <w:numPr>
                <w:ilvl w:val="1"/>
                <w:numId w:val="0"/>
              </w:numPr>
              <w:tabs>
                <w:tab w:val="left" w:pos="709"/>
              </w:tabs>
              <w:suppressAutoHyphens/>
              <w:ind w:firstLine="709"/>
              <w:outlineLvl w:val="1"/>
              <w:rPr>
                <w:rFonts w:ascii="Times New Roman" w:hAnsi="Times New Roman"/>
                <w:b/>
                <w:bCs/>
                <w:sz w:val="28"/>
                <w:szCs w:val="28"/>
              </w:rPr>
            </w:pPr>
            <w:bookmarkStart w:id="1" w:name="_Toc518846413"/>
            <w:r w:rsidRPr="005D7124">
              <w:rPr>
                <w:rFonts w:ascii="Times New Roman" w:hAnsi="Times New Roman"/>
                <w:b/>
                <w:bCs/>
                <w:sz w:val="28"/>
                <w:szCs w:val="28"/>
              </w:rPr>
              <w:t>Д.О. Алистратова</w:t>
            </w:r>
            <w:bookmarkEnd w:id="1"/>
          </w:p>
          <w:p w:rsidR="005D7124" w:rsidRPr="005D7124" w:rsidRDefault="005D7124" w:rsidP="005D7124">
            <w:pPr>
              <w:rPr>
                <w:rFonts w:ascii="Times New Roman" w:hAnsi="Times New Roman"/>
                <w:i/>
                <w:sz w:val="28"/>
                <w:szCs w:val="24"/>
              </w:rPr>
            </w:pPr>
            <w:r w:rsidRPr="005D7124">
              <w:rPr>
                <w:rFonts w:ascii="Times New Roman" w:hAnsi="Times New Roman"/>
                <w:i/>
                <w:sz w:val="28"/>
                <w:szCs w:val="24"/>
              </w:rPr>
              <w:t>ГОУВПО «Донецкий национальный  технический университет»,</w:t>
            </w:r>
          </w:p>
          <w:p w:rsidR="005D7124" w:rsidRPr="005D7124" w:rsidRDefault="005D7124" w:rsidP="005D7124">
            <w:pPr>
              <w:jc w:val="both"/>
              <w:rPr>
                <w:rFonts w:ascii="Times New Roman" w:hAnsi="Times New Roman"/>
                <w:i/>
                <w:sz w:val="28"/>
                <w:szCs w:val="24"/>
              </w:rPr>
            </w:pPr>
            <w:r w:rsidRPr="005D7124">
              <w:rPr>
                <w:rFonts w:ascii="Times New Roman" w:hAnsi="Times New Roman"/>
                <w:i/>
                <w:sz w:val="28"/>
                <w:szCs w:val="28"/>
              </w:rPr>
              <w:t>Донецк, Донецкая Народная Республика</w:t>
            </w:r>
          </w:p>
          <w:p w:rsidR="005D7124" w:rsidRPr="005D7124" w:rsidRDefault="005D7124" w:rsidP="005D7124">
            <w:pPr>
              <w:rPr>
                <w:rFonts w:ascii="Times New Roman" w:hAnsi="Times New Roman"/>
                <w:b/>
                <w:i/>
                <w:sz w:val="28"/>
                <w:szCs w:val="24"/>
              </w:rPr>
            </w:pPr>
            <w:r w:rsidRPr="005D7124">
              <w:rPr>
                <w:rFonts w:ascii="Times New Roman" w:hAnsi="Times New Roman"/>
                <w:b/>
                <w:i/>
                <w:sz w:val="28"/>
                <w:szCs w:val="24"/>
                <w:lang w:val="en-US"/>
              </w:rPr>
              <w:t>O</w:t>
            </w:r>
            <w:r w:rsidRPr="005D7124">
              <w:rPr>
                <w:rFonts w:ascii="Times New Roman" w:hAnsi="Times New Roman"/>
                <w:b/>
                <w:i/>
                <w:sz w:val="28"/>
                <w:szCs w:val="24"/>
              </w:rPr>
              <w:t>.</w:t>
            </w:r>
            <w:r w:rsidRPr="005D7124">
              <w:rPr>
                <w:rFonts w:ascii="Times New Roman" w:hAnsi="Times New Roman"/>
                <w:b/>
                <w:i/>
                <w:sz w:val="28"/>
                <w:szCs w:val="24"/>
                <w:lang w:val="en-US"/>
              </w:rPr>
              <w:t>G</w:t>
            </w:r>
            <w:r w:rsidRPr="005D7124">
              <w:rPr>
                <w:rFonts w:ascii="Times New Roman" w:hAnsi="Times New Roman"/>
                <w:b/>
                <w:i/>
                <w:sz w:val="28"/>
                <w:szCs w:val="24"/>
              </w:rPr>
              <w:t xml:space="preserve">. </w:t>
            </w:r>
            <w:r w:rsidRPr="005D7124">
              <w:rPr>
                <w:rFonts w:ascii="Times New Roman" w:hAnsi="Times New Roman"/>
                <w:b/>
                <w:i/>
                <w:sz w:val="28"/>
                <w:szCs w:val="24"/>
                <w:lang w:val="en-US"/>
              </w:rPr>
              <w:t>Vynohgadov</w:t>
            </w:r>
            <w:r w:rsidRPr="005D7124">
              <w:rPr>
                <w:rFonts w:ascii="Times New Roman" w:hAnsi="Times New Roman"/>
                <w:b/>
                <w:i/>
                <w:sz w:val="28"/>
                <w:szCs w:val="24"/>
              </w:rPr>
              <w:t xml:space="preserve">, </w:t>
            </w:r>
            <w:r w:rsidRPr="005D7124">
              <w:rPr>
                <w:rFonts w:ascii="Times New Roman" w:hAnsi="Times New Roman"/>
                <w:b/>
                <w:i/>
                <w:sz w:val="28"/>
                <w:szCs w:val="24"/>
                <w:lang w:val="en-US"/>
              </w:rPr>
              <w:t>D</w:t>
            </w:r>
            <w:r w:rsidRPr="005D7124">
              <w:rPr>
                <w:rFonts w:ascii="Times New Roman" w:hAnsi="Times New Roman"/>
                <w:b/>
                <w:i/>
                <w:sz w:val="28"/>
                <w:szCs w:val="24"/>
              </w:rPr>
              <w:t>.</w:t>
            </w:r>
            <w:r w:rsidRPr="005D7124">
              <w:rPr>
                <w:rFonts w:ascii="Times New Roman" w:hAnsi="Times New Roman"/>
                <w:b/>
                <w:i/>
                <w:sz w:val="28"/>
                <w:szCs w:val="24"/>
                <w:lang w:val="en-US"/>
              </w:rPr>
              <w:t>O</w:t>
            </w:r>
            <w:r w:rsidRPr="005D7124">
              <w:rPr>
                <w:rFonts w:ascii="Times New Roman" w:hAnsi="Times New Roman"/>
                <w:b/>
                <w:i/>
                <w:sz w:val="28"/>
                <w:szCs w:val="24"/>
              </w:rPr>
              <w:t xml:space="preserve">. </w:t>
            </w:r>
            <w:r w:rsidRPr="005D7124">
              <w:rPr>
                <w:rFonts w:ascii="Times New Roman" w:hAnsi="Times New Roman"/>
                <w:b/>
                <w:i/>
                <w:sz w:val="28"/>
                <w:szCs w:val="24"/>
                <w:lang w:val="en-US"/>
              </w:rPr>
              <w:t>Alistratova</w:t>
            </w:r>
            <w:r w:rsidRPr="005D7124">
              <w:rPr>
                <w:rFonts w:ascii="Times New Roman" w:hAnsi="Times New Roman"/>
                <w:b/>
                <w:i/>
                <w:sz w:val="28"/>
                <w:szCs w:val="24"/>
              </w:rPr>
              <w:t xml:space="preserve"> </w:t>
            </w:r>
          </w:p>
          <w:p w:rsidR="005D7124" w:rsidRPr="005D7124" w:rsidRDefault="005D7124" w:rsidP="005D7124">
            <w:pPr>
              <w:rPr>
                <w:rFonts w:ascii="Times New Roman" w:hAnsi="Times New Roman"/>
                <w:i/>
                <w:sz w:val="28"/>
                <w:szCs w:val="24"/>
                <w:lang w:val="en-US"/>
              </w:rPr>
            </w:pPr>
            <w:r w:rsidRPr="005D7124">
              <w:rPr>
                <w:rFonts w:ascii="Times New Roman" w:hAnsi="Times New Roman"/>
                <w:i/>
                <w:sz w:val="28"/>
                <w:szCs w:val="24"/>
                <w:lang w:val="en-US"/>
              </w:rPr>
              <w:t xml:space="preserve">SEI HPE </w:t>
            </w:r>
            <w:r w:rsidRPr="005D7124">
              <w:rPr>
                <w:rFonts w:ascii="Times New Roman" w:hAnsi="Times New Roman"/>
                <w:i/>
                <w:iCs/>
                <w:sz w:val="28"/>
                <w:szCs w:val="28"/>
                <w:lang w:val="en-US"/>
              </w:rPr>
              <w:t>«</w:t>
            </w:r>
            <w:r w:rsidRPr="005D7124">
              <w:rPr>
                <w:rFonts w:ascii="Times New Roman" w:hAnsi="Times New Roman"/>
                <w:i/>
                <w:sz w:val="28"/>
                <w:szCs w:val="24"/>
                <w:lang w:val="en-US"/>
              </w:rPr>
              <w:t xml:space="preserve">Donetsk National  Technical University», </w:t>
            </w:r>
          </w:p>
          <w:p w:rsidR="005D7124" w:rsidRPr="005D7124" w:rsidRDefault="005D7124" w:rsidP="005D7124">
            <w:pPr>
              <w:jc w:val="both"/>
              <w:rPr>
                <w:rFonts w:ascii="Times New Roman" w:hAnsi="Times New Roman"/>
                <w:sz w:val="28"/>
                <w:szCs w:val="28"/>
                <w:lang w:val="en-US"/>
              </w:rPr>
            </w:pPr>
            <w:r w:rsidRPr="005D7124">
              <w:rPr>
                <w:rFonts w:ascii="Times New Roman" w:hAnsi="Times New Roman"/>
                <w:i/>
                <w:sz w:val="28"/>
                <w:szCs w:val="28"/>
              </w:rPr>
              <w:t>Donetsk, Donetsk People's Republic</w:t>
            </w:r>
          </w:p>
        </w:tc>
      </w:tr>
      <w:tr w:rsidR="005D7124" w:rsidRPr="005D7124" w:rsidTr="00BB1D7C">
        <w:trPr>
          <w:jc w:val="center"/>
        </w:trPr>
        <w:tc>
          <w:tcPr>
            <w:tcW w:w="4320" w:type="dxa"/>
          </w:tcPr>
          <w:p w:rsidR="005D7124" w:rsidRPr="005D7124" w:rsidRDefault="005D7124" w:rsidP="005D7124">
            <w:pPr>
              <w:keepNext/>
              <w:keepLines/>
              <w:ind w:hanging="28"/>
              <w:jc w:val="center"/>
              <w:outlineLvl w:val="0"/>
              <w:rPr>
                <w:rFonts w:ascii="Times New Roman" w:hAnsi="Times New Roman"/>
                <w:b/>
                <w:bCs/>
                <w:caps/>
                <w:sz w:val="28"/>
                <w:szCs w:val="28"/>
                <w:shd w:val="clear" w:color="auto" w:fill="FFFFFF"/>
              </w:rPr>
            </w:pPr>
          </w:p>
        </w:tc>
        <w:tc>
          <w:tcPr>
            <w:tcW w:w="5246" w:type="dxa"/>
          </w:tcPr>
          <w:p w:rsidR="005D7124" w:rsidRPr="005D7124" w:rsidRDefault="005D7124" w:rsidP="005D7124">
            <w:pPr>
              <w:widowControl w:val="0"/>
              <w:jc w:val="both"/>
              <w:rPr>
                <w:rFonts w:ascii="Times New Roman" w:hAnsi="Times New Roman"/>
                <w:lang w:val="en-US"/>
              </w:rPr>
            </w:pPr>
          </w:p>
        </w:tc>
      </w:tr>
      <w:tr w:rsidR="005D7124" w:rsidRPr="005D7124" w:rsidTr="00BB1D7C">
        <w:trPr>
          <w:jc w:val="center"/>
        </w:trPr>
        <w:tc>
          <w:tcPr>
            <w:tcW w:w="9566" w:type="dxa"/>
            <w:gridSpan w:val="2"/>
          </w:tcPr>
          <w:p w:rsidR="005D7124" w:rsidRPr="005D7124" w:rsidRDefault="005D7124" w:rsidP="005D7124">
            <w:pPr>
              <w:keepNext/>
              <w:keepLines/>
              <w:ind w:hanging="28"/>
              <w:jc w:val="center"/>
              <w:outlineLvl w:val="0"/>
              <w:rPr>
                <w:rFonts w:ascii="Times New Roman" w:hAnsi="Times New Roman"/>
                <w:b/>
                <w:bCs/>
                <w:caps/>
                <w:sz w:val="28"/>
                <w:szCs w:val="28"/>
                <w:shd w:val="clear" w:color="auto" w:fill="FFFFFF"/>
              </w:rPr>
            </w:pPr>
            <w:bookmarkStart w:id="2" w:name="_Toc518846414"/>
            <w:r w:rsidRPr="005D7124">
              <w:rPr>
                <w:rFonts w:ascii="Times New Roman" w:hAnsi="Times New Roman"/>
                <w:b/>
                <w:bCs/>
                <w:caps/>
                <w:sz w:val="28"/>
                <w:szCs w:val="28"/>
                <w:shd w:val="clear" w:color="auto" w:fill="FFFFFF"/>
              </w:rPr>
              <w:t>ПРОЦЕСС ПЛАНИРОВАНИЯ МЕХАНИЗМА ОБЕСПЕЧЕНИЯ УСТОЙЧИВОСТИ МАРКЕТИНГОВОЙ ДЕЯТЕЛЬНОСТИ ПРЕДПРИЯТИЯ</w:t>
            </w:r>
            <w:bookmarkEnd w:id="2"/>
          </w:p>
        </w:tc>
      </w:tr>
      <w:tr w:rsidR="005D7124" w:rsidRPr="005D7124" w:rsidTr="00BB1D7C">
        <w:trPr>
          <w:jc w:val="center"/>
        </w:trPr>
        <w:tc>
          <w:tcPr>
            <w:tcW w:w="9566" w:type="dxa"/>
            <w:gridSpan w:val="2"/>
          </w:tcPr>
          <w:p w:rsidR="005D7124" w:rsidRPr="005D7124" w:rsidRDefault="005D7124" w:rsidP="005D7124">
            <w:pPr>
              <w:jc w:val="both"/>
              <w:rPr>
                <w:rFonts w:ascii="Times New Roman" w:hAnsi="Times New Roman"/>
              </w:rPr>
            </w:pPr>
          </w:p>
        </w:tc>
      </w:tr>
      <w:tr w:rsidR="005D7124" w:rsidRPr="005D7124" w:rsidTr="00BB1D7C">
        <w:trPr>
          <w:jc w:val="center"/>
        </w:trPr>
        <w:tc>
          <w:tcPr>
            <w:tcW w:w="9566" w:type="dxa"/>
            <w:gridSpan w:val="2"/>
          </w:tcPr>
          <w:p w:rsidR="005D7124" w:rsidRPr="005D7124" w:rsidRDefault="005D7124" w:rsidP="005D7124">
            <w:pPr>
              <w:jc w:val="center"/>
              <w:rPr>
                <w:rFonts w:ascii="Times New Roman" w:hAnsi="Times New Roman"/>
                <w:b/>
                <w:sz w:val="28"/>
                <w:szCs w:val="28"/>
                <w:lang w:val="en-US"/>
              </w:rPr>
            </w:pPr>
            <w:r w:rsidRPr="005D7124">
              <w:rPr>
                <w:rFonts w:ascii="Times New Roman" w:hAnsi="Times New Roman"/>
                <w:b/>
                <w:sz w:val="28"/>
                <w:szCs w:val="24"/>
                <w:lang w:val="en-US"/>
              </w:rPr>
              <w:t>THE PLANNING PROCESS OF A MECHANISM FOR SUSTAINABILITY OF MARKETING ACTIVITIES OF THE COMPANY</w:t>
            </w:r>
          </w:p>
        </w:tc>
      </w:tr>
    </w:tbl>
    <w:p w:rsidR="005D7124" w:rsidRPr="005D7124" w:rsidRDefault="005D7124" w:rsidP="005D7124">
      <w:pPr>
        <w:spacing w:after="0" w:line="240" w:lineRule="auto"/>
        <w:ind w:firstLine="709"/>
        <w:jc w:val="both"/>
        <w:rPr>
          <w:rFonts w:ascii="Times New Roman" w:eastAsia="Times New Roman" w:hAnsi="Times New Roman" w:cs="Times New Roman"/>
          <w:sz w:val="20"/>
          <w:szCs w:val="20"/>
          <w:lang w:val="en-US" w:eastAsia="ru-RU"/>
        </w:rPr>
      </w:pPr>
    </w:p>
    <w:p w:rsidR="005D7124" w:rsidRPr="005D7124" w:rsidRDefault="005D7124" w:rsidP="005D7124">
      <w:pPr>
        <w:spacing w:after="0" w:line="240" w:lineRule="auto"/>
        <w:ind w:firstLine="709"/>
        <w:jc w:val="both"/>
        <w:rPr>
          <w:rFonts w:ascii="Times New Roman" w:eastAsia="Times New Roman" w:hAnsi="Times New Roman" w:cs="Times New Roman"/>
          <w:i/>
          <w:sz w:val="24"/>
          <w:szCs w:val="24"/>
          <w:lang w:eastAsia="ru-RU"/>
        </w:rPr>
      </w:pPr>
      <w:r w:rsidRPr="005D7124">
        <w:rPr>
          <w:rFonts w:ascii="Times New Roman" w:eastAsia="Times New Roman" w:hAnsi="Times New Roman" w:cs="Times New Roman"/>
          <w:i/>
          <w:sz w:val="24"/>
          <w:szCs w:val="24"/>
          <w:lang w:eastAsia="ru-RU"/>
        </w:rPr>
        <w:t>Аннотация. В статье обоснована актуальность для предприятия маркетингового планирования, определена сущность процесса планирования механизма обеспечения устойчивости маркетинговой деятельности предприятия, обоснованы этапы этого процесса, раскрыта их сущность, определены подходы к поиску контролируемых рычагов влияния на устойчивость маркетинговой деятельности предприятия.</w:t>
      </w:r>
    </w:p>
    <w:p w:rsidR="005D7124" w:rsidRPr="005D7124" w:rsidRDefault="005D7124" w:rsidP="005D7124">
      <w:pPr>
        <w:spacing w:after="0" w:line="240" w:lineRule="auto"/>
        <w:ind w:firstLine="709"/>
        <w:jc w:val="both"/>
        <w:rPr>
          <w:rFonts w:ascii="Times New Roman" w:eastAsia="Times New Roman" w:hAnsi="Times New Roman" w:cs="Times New Roman"/>
          <w:i/>
          <w:sz w:val="24"/>
          <w:szCs w:val="24"/>
          <w:lang w:eastAsia="ru-RU"/>
        </w:rPr>
      </w:pPr>
      <w:r w:rsidRPr="005D7124">
        <w:rPr>
          <w:rFonts w:ascii="Times New Roman" w:eastAsia="Times New Roman" w:hAnsi="Times New Roman" w:cs="Times New Roman"/>
          <w:i/>
          <w:sz w:val="24"/>
          <w:szCs w:val="24"/>
          <w:lang w:eastAsia="ru-RU"/>
        </w:rPr>
        <w:t>Ключевые слова: устойчивость маркетинговой деятельности, маркетинговое планирование, механизм, процесс планирования, этапы планирования.</w:t>
      </w:r>
    </w:p>
    <w:p w:rsidR="005D7124" w:rsidRPr="005D7124" w:rsidRDefault="005D7124" w:rsidP="005D7124">
      <w:pPr>
        <w:spacing w:after="0" w:line="240" w:lineRule="auto"/>
        <w:ind w:firstLine="709"/>
        <w:jc w:val="both"/>
        <w:rPr>
          <w:rFonts w:ascii="Times New Roman" w:eastAsia="Times New Roman" w:hAnsi="Times New Roman" w:cs="Times New Roman"/>
          <w:i/>
          <w:sz w:val="28"/>
          <w:szCs w:val="28"/>
          <w:lang w:eastAsia="ru-RU"/>
        </w:rPr>
      </w:pPr>
    </w:p>
    <w:p w:rsidR="005D7124" w:rsidRPr="005D7124" w:rsidRDefault="005D7124" w:rsidP="005D7124">
      <w:pPr>
        <w:spacing w:after="0" w:line="240" w:lineRule="auto"/>
        <w:ind w:firstLine="709"/>
        <w:jc w:val="both"/>
        <w:rPr>
          <w:rFonts w:ascii="Times New Roman" w:eastAsia="Times New Roman" w:hAnsi="Times New Roman" w:cs="Times New Roman"/>
          <w:i/>
          <w:sz w:val="24"/>
          <w:szCs w:val="24"/>
          <w:lang w:val="en-US" w:eastAsia="ru-RU"/>
        </w:rPr>
      </w:pPr>
      <w:r w:rsidRPr="005D7124">
        <w:rPr>
          <w:rFonts w:ascii="Times New Roman" w:eastAsia="Times New Roman" w:hAnsi="Times New Roman" w:cs="Times New Roman"/>
          <w:i/>
          <w:sz w:val="24"/>
          <w:szCs w:val="24"/>
          <w:lang w:val="en-US" w:eastAsia="ru-RU"/>
        </w:rPr>
        <w:t>Abstract. The article substantiates the relevance of marketing planning for the enterprise, defines the essence of the process of planning the mechanism of ensuring the stability of the marketing activity of the enterprise, substantiates the stages of this process, reveals their essence, defined approaches to finding controlled levers of influence on the stability of the marketing activity of the enterprise.</w:t>
      </w:r>
    </w:p>
    <w:p w:rsidR="005D7124" w:rsidRPr="005D7124" w:rsidRDefault="005D7124" w:rsidP="005D7124">
      <w:pPr>
        <w:spacing w:after="0" w:line="240" w:lineRule="auto"/>
        <w:ind w:firstLine="709"/>
        <w:jc w:val="both"/>
        <w:rPr>
          <w:rFonts w:ascii="Times New Roman" w:eastAsia="Times New Roman" w:hAnsi="Times New Roman" w:cs="Times New Roman"/>
          <w:i/>
          <w:sz w:val="24"/>
          <w:szCs w:val="24"/>
          <w:lang w:val="en-US" w:eastAsia="ru-RU"/>
        </w:rPr>
      </w:pPr>
      <w:r w:rsidRPr="005D7124">
        <w:rPr>
          <w:rFonts w:ascii="Times New Roman" w:eastAsia="Times New Roman" w:hAnsi="Times New Roman" w:cs="Times New Roman"/>
          <w:i/>
          <w:sz w:val="24"/>
          <w:szCs w:val="24"/>
          <w:lang w:val="en-US" w:eastAsia="ru-RU"/>
        </w:rPr>
        <w:t>Keywords: sustainability of marketing activities, marketing planning, mechanism, planning process, planning stages.</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val="en-US" w:eastAsia="ru-RU"/>
        </w:rPr>
      </w:pP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b/>
          <w:sz w:val="28"/>
          <w:szCs w:val="24"/>
          <w:lang w:eastAsia="ru-RU"/>
        </w:rPr>
        <w:t>Постановка проблемы</w:t>
      </w:r>
      <w:r w:rsidRPr="005D7124">
        <w:rPr>
          <w:rFonts w:ascii="Times New Roman" w:eastAsia="Times New Roman" w:hAnsi="Times New Roman" w:cs="Times New Roman"/>
          <w:sz w:val="28"/>
          <w:szCs w:val="24"/>
          <w:lang w:eastAsia="ru-RU"/>
        </w:rPr>
        <w:t>. Переход от административно-плановой экономики к рыночной поставил под вопрос приоритетность планирования как одной из важных функций управления. Однако на деле оказалось, что различие между рыночной и командной экономикой не в том, является ли планирование необходимой функцией менеджмента, а в том, должно ли планирование осуществляться исключительно государственными органами сверху, то есть централизовано, или каждым предприятием самостоятельно, исходя из своих корпоративных интересов (децентрализовано).</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sz w:val="28"/>
          <w:szCs w:val="24"/>
          <w:lang w:eastAsia="ru-RU"/>
        </w:rPr>
        <w:t xml:space="preserve">Понятие «планирование» имеет множество трактовок, но в контексте обеспечения деятельности предприятия уместным является следующее [1]: «Планирование на предприятии – это процесс разработки и прогнозирования системы качественных и количественных показателей развития предприятия, </w:t>
      </w:r>
      <w:r w:rsidRPr="005D7124">
        <w:rPr>
          <w:rFonts w:ascii="Times New Roman" w:eastAsia="Times New Roman" w:hAnsi="Times New Roman" w:cs="Times New Roman"/>
          <w:sz w:val="28"/>
          <w:szCs w:val="24"/>
          <w:lang w:eastAsia="ru-RU"/>
        </w:rPr>
        <w:lastRenderedPageBreak/>
        <w:t>которая определяет тенденции и темпы его развития, является основой для эффективной деятельности, предполагает формирование экономических целей и выбора наилучших путей их достижения». Одна из важных задач планирования – сделать возможным реализацию поставленных целей. В рыночной экономике нельзя недооценивать роль планирования в успешном функционировании как предприятия в целом, так и отдельных его подразделений. Планирование играет ведущую роль в обеспечении стабильного равновесия между производством и потреблением продукции, величиной рыночного спроса на товары и объемом их предложения. С помощью планирования также обеспечивается выпуск высококачественной конкурентоспособной продукции в необходимом объеме и ассортименте, решается проблема организации и поддержания жизнеспособного состояния предприятия в условиях стремительно меняющегося рынка и деловой среды [2].</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sz w:val="28"/>
          <w:szCs w:val="24"/>
          <w:lang w:eastAsia="ru-RU"/>
        </w:rPr>
        <w:t>Маркетинговое планирование – одна из наиболее важных прерогатив успешного предприятия, а планирование механизма обеспечения устойчивости маркетинговой деятельности – необходимое условие обеспечения устойчивости маркетинговой деятельности, достижение и поддержание которой – базис длительной жизнестойкости предприятия. Ведь маркетинг ориентирован не на сиюминутную выгоду, а на максимизацию долгосрочной успешности деятельности. Установление целей, задач, разработка стратегий маркетинга имеют, как правило, долгосрочный характер, так как определяют траекторию движения предприятия на достаточно длительный период. Следовательно, по характеру маркетинговое планирование – это не что иное, как стратегическое планирование, и оно проходит те же этапы, что и стратегическое планирование на предприятии в целом: выбор миссии; определение целей; оценка и анализ внешней среды; управленческое обследование сильных и слабых сторон; анализ стратегических альтернатив; выбор стратегии; реализация стратегии; оценка стратегии.</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sz w:val="28"/>
          <w:szCs w:val="24"/>
          <w:lang w:eastAsia="ru-RU"/>
        </w:rPr>
        <w:t>Механизмом принято называть все то, что реализует способность двигаться, функционировать и развиваться. Поэтому механизм обеспечения устойчивости маркетинговой деятельности предприятия – это совокупность средств воздействия и процессов в виде действий по организации и управлению маркетинговой деятельностью, направленных на обеспечение устойчивости этой деятельности. Если процесс реализуется через технологию действий, то средства – через инструменты и рычаги реализации этих действий.</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b/>
          <w:sz w:val="28"/>
          <w:szCs w:val="24"/>
          <w:lang w:eastAsia="ru-RU"/>
        </w:rPr>
        <w:t>Анализ предыдущих исследований и публикаций.</w:t>
      </w:r>
      <w:r w:rsidRPr="005D7124">
        <w:rPr>
          <w:rFonts w:ascii="Times New Roman" w:eastAsia="Times New Roman" w:hAnsi="Times New Roman" w:cs="Times New Roman"/>
          <w:sz w:val="28"/>
          <w:szCs w:val="24"/>
          <w:lang w:eastAsia="ru-RU"/>
        </w:rPr>
        <w:t xml:space="preserve"> Изучением вопросов устойчивости предприятия и устойчивости его развития занимались многие исследователи (О. В. Тур, Е. В. Исаенко, М. В. Христова, И. П. Геращенко, А. А. Василенко). При этом маркетинговая (рыночная) устойчивость предприятия рассматривается в основном с понятийных позиций, в классификационном, компонентном и факторном аспектах [4]. В то же время вопросы планирования механизма обеспечения устойчивости </w:t>
      </w:r>
      <w:r w:rsidRPr="005D7124">
        <w:rPr>
          <w:rFonts w:ascii="Times New Roman" w:eastAsia="Times New Roman" w:hAnsi="Times New Roman" w:cs="Times New Roman"/>
          <w:sz w:val="28"/>
          <w:szCs w:val="24"/>
          <w:lang w:eastAsia="ru-RU"/>
        </w:rPr>
        <w:lastRenderedPageBreak/>
        <w:t>маркетинговой деятельности предприятия с процессных позиций не рассматривался.</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b/>
          <w:sz w:val="28"/>
          <w:szCs w:val="24"/>
          <w:lang w:eastAsia="ru-RU"/>
        </w:rPr>
        <w:t>Цель исследования</w:t>
      </w:r>
      <w:r w:rsidRPr="005D7124">
        <w:rPr>
          <w:rFonts w:ascii="Times New Roman" w:eastAsia="Times New Roman" w:hAnsi="Times New Roman" w:cs="Times New Roman"/>
          <w:sz w:val="28"/>
          <w:szCs w:val="24"/>
          <w:lang w:eastAsia="ru-RU"/>
        </w:rPr>
        <w:t xml:space="preserve"> – раскрыть сущность процесса планирования механизма обеспечения устойчивости маркетинговой деятельности предприятия.</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b/>
          <w:sz w:val="28"/>
          <w:szCs w:val="24"/>
          <w:lang w:eastAsia="ru-RU"/>
        </w:rPr>
        <w:t>Основные результаты исследования.</w:t>
      </w:r>
      <w:r w:rsidRPr="005D7124">
        <w:rPr>
          <w:rFonts w:ascii="Times New Roman" w:eastAsia="Times New Roman" w:hAnsi="Times New Roman" w:cs="Times New Roman"/>
          <w:sz w:val="28"/>
          <w:szCs w:val="24"/>
          <w:lang w:eastAsia="ru-RU"/>
        </w:rPr>
        <w:t xml:space="preserve"> Маркетинговое планирование и планирование механизма обеспечения устойчивости маркетинговой деятельности тесно взаимосвязаны, так как планирование механизма обеспечения устойчивости – это одна из планируемых задач маркетинга. Маркетинговое планирование – более масштабная и всеобъемлющая работа, тогда как планирование механизма обеспечения устойчивости маркетинговой деятельности – одна из составляющих данной работы. Поэтому и процессы их планирования должны осуществляться параллельно.</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sz w:val="28"/>
          <w:szCs w:val="24"/>
          <w:lang w:eastAsia="ru-RU"/>
        </w:rPr>
        <w:t>Планирование маркетинга состоит из двух стадий [3]:</w:t>
      </w:r>
    </w:p>
    <w:p w:rsidR="005D7124" w:rsidRPr="005D7124" w:rsidRDefault="005D7124" w:rsidP="005D7124">
      <w:pPr>
        <w:numPr>
          <w:ilvl w:val="0"/>
          <w:numId w:val="1"/>
        </w:numPr>
        <w:tabs>
          <w:tab w:val="left" w:pos="1080"/>
        </w:tabs>
        <w:spacing w:after="0" w:line="240" w:lineRule="auto"/>
        <w:ind w:firstLine="708"/>
        <w:jc w:val="both"/>
        <w:rPr>
          <w:rFonts w:ascii="Times New Roman" w:eastAsia="Times New Roman" w:hAnsi="Times New Roman" w:cs="Times New Roman"/>
          <w:sz w:val="28"/>
          <w:szCs w:val="28"/>
          <w:lang w:eastAsia="ru-RU"/>
        </w:rPr>
      </w:pPr>
      <w:r w:rsidRPr="005D7124">
        <w:rPr>
          <w:rFonts w:ascii="Times New Roman" w:eastAsia="Times New Roman" w:hAnsi="Times New Roman" w:cs="Times New Roman"/>
          <w:sz w:val="28"/>
          <w:szCs w:val="28"/>
          <w:lang w:eastAsia="ru-RU"/>
        </w:rPr>
        <w:t>отбор рынков, то есть потребителей, которым будет адресоваться продукция предприятия;</w:t>
      </w:r>
    </w:p>
    <w:p w:rsidR="005D7124" w:rsidRPr="005D7124" w:rsidRDefault="005D7124" w:rsidP="005D7124">
      <w:pPr>
        <w:numPr>
          <w:ilvl w:val="0"/>
          <w:numId w:val="1"/>
        </w:numPr>
        <w:tabs>
          <w:tab w:val="left" w:pos="1080"/>
        </w:tabs>
        <w:spacing w:after="0" w:line="240" w:lineRule="auto"/>
        <w:ind w:firstLine="708"/>
        <w:jc w:val="both"/>
        <w:rPr>
          <w:rFonts w:ascii="Times New Roman" w:eastAsia="Times New Roman" w:hAnsi="Times New Roman" w:cs="Times New Roman"/>
          <w:sz w:val="28"/>
          <w:szCs w:val="28"/>
          <w:lang w:eastAsia="ru-RU"/>
        </w:rPr>
      </w:pPr>
      <w:r w:rsidRPr="005D7124">
        <w:rPr>
          <w:rFonts w:ascii="Times New Roman" w:eastAsia="Times New Roman" w:hAnsi="Times New Roman" w:cs="Times New Roman"/>
          <w:sz w:val="28"/>
          <w:szCs w:val="28"/>
          <w:lang w:eastAsia="ru-RU"/>
        </w:rPr>
        <w:t>анализ факторов маркетинга, их отбор, комплектование набора компонентов маркетинга, необходимых для использования при удовлетворении выявленных потребностей рынка.</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sz w:val="28"/>
          <w:szCs w:val="24"/>
          <w:lang w:eastAsia="ru-RU"/>
        </w:rPr>
        <w:t xml:space="preserve">На каждой из этих двух стадий планирования маркетинга реализуются определенные механизмы, которые способствуют обеспечению устойчивости маркетинговой деятельности. </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sz w:val="28"/>
          <w:szCs w:val="24"/>
          <w:lang w:eastAsia="ru-RU"/>
        </w:rPr>
        <w:t xml:space="preserve">В общем, планирование механизма обеспечения устойчивости маркетинговой деятельности можно рассматривать как процесс достижения устойчивости маркетинговой деятельности путем оценки сложившейся ситуации во внутренней и внешней среде предприятия, анализа слабых сторон и выявления рычагов, на которые предприятие имеет возможность повлиять и в дальнейшем держать под контролем. Как и любое другое планирование, планирование механизма обеспечения устойчивости маркетинговой деятельности заключается в реализации последовательных шагов (этапов) планирования, что представлено на рис.1. </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59264" behindDoc="0" locked="0" layoutInCell="1" allowOverlap="1" wp14:anchorId="21744FD3" wp14:editId="0627225B">
                <wp:simplePos x="0" y="0"/>
                <wp:positionH relativeFrom="column">
                  <wp:posOffset>1499235</wp:posOffset>
                </wp:positionH>
                <wp:positionV relativeFrom="paragraph">
                  <wp:posOffset>190500</wp:posOffset>
                </wp:positionV>
                <wp:extent cx="3218180" cy="2667000"/>
                <wp:effectExtent l="0" t="0" r="20320" b="19050"/>
                <wp:wrapNone/>
                <wp:docPr id="2244"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180" cy="2667000"/>
                          <a:chOff x="3487" y="1919"/>
                          <a:chExt cx="5068" cy="4887"/>
                        </a:xfrm>
                      </wpg:grpSpPr>
                      <wps:wsp>
                        <wps:cNvPr id="2245" name="AutoShape 459"/>
                        <wps:cNvSpPr>
                          <a:spLocks noChangeArrowheads="1"/>
                        </wps:cNvSpPr>
                        <wps:spPr bwMode="auto">
                          <a:xfrm>
                            <a:off x="3487" y="1919"/>
                            <a:ext cx="5068" cy="543"/>
                          </a:xfrm>
                          <a:prstGeom prst="roundRect">
                            <a:avLst>
                              <a:gd name="adj" fmla="val 16667"/>
                            </a:avLst>
                          </a:prstGeom>
                          <a:solidFill>
                            <a:srgbClr val="FFFFFF"/>
                          </a:solidFill>
                          <a:ln w="9525">
                            <a:solidFill>
                              <a:srgbClr val="000000"/>
                            </a:solidFill>
                            <a:round/>
                            <a:headEnd/>
                            <a:tailEnd/>
                          </a:ln>
                        </wps:spPr>
                        <wps:txbx>
                          <w:txbxContent>
                            <w:p w:rsidR="005D7124" w:rsidRPr="00BB2C88" w:rsidRDefault="005D7124" w:rsidP="005D7124">
                              <w:pPr>
                                <w:jc w:val="center"/>
                                <w:rPr>
                                  <w:sz w:val="24"/>
                                </w:rPr>
                              </w:pPr>
                              <w:r w:rsidRPr="00BB2C88">
                                <w:rPr>
                                  <w:sz w:val="24"/>
                                </w:rPr>
                                <w:t>Анализ рыночной ситуации</w:t>
                              </w:r>
                            </w:p>
                          </w:txbxContent>
                        </wps:txbx>
                        <wps:bodyPr rot="0" vert="horz" wrap="square" lIns="91440" tIns="45720" rIns="91440" bIns="45720" anchor="t" anchorCtr="0" upright="1">
                          <a:noAutofit/>
                        </wps:bodyPr>
                      </wps:wsp>
                      <wps:wsp>
                        <wps:cNvPr id="2246" name="Line 460"/>
                        <wps:cNvCnPr/>
                        <wps:spPr bwMode="auto">
                          <a:xfrm>
                            <a:off x="6021" y="2462"/>
                            <a:ext cx="0" cy="3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7" name="AutoShape 461"/>
                        <wps:cNvSpPr>
                          <a:spLocks noChangeArrowheads="1"/>
                        </wps:cNvSpPr>
                        <wps:spPr bwMode="auto">
                          <a:xfrm>
                            <a:off x="3487" y="2800"/>
                            <a:ext cx="5068" cy="905"/>
                          </a:xfrm>
                          <a:prstGeom prst="roundRect">
                            <a:avLst>
                              <a:gd name="adj" fmla="val 16667"/>
                            </a:avLst>
                          </a:prstGeom>
                          <a:solidFill>
                            <a:srgbClr val="FFFFFF"/>
                          </a:solidFill>
                          <a:ln w="9525">
                            <a:solidFill>
                              <a:srgbClr val="000000"/>
                            </a:solidFill>
                            <a:round/>
                            <a:headEnd/>
                            <a:tailEnd/>
                          </a:ln>
                        </wps:spPr>
                        <wps:txbx>
                          <w:txbxContent>
                            <w:p w:rsidR="005D7124" w:rsidRPr="00BB2C88" w:rsidRDefault="005D7124" w:rsidP="005D7124">
                              <w:pPr>
                                <w:jc w:val="center"/>
                                <w:rPr>
                                  <w:sz w:val="24"/>
                                </w:rPr>
                              </w:pPr>
                              <w:r w:rsidRPr="00BB2C88">
                                <w:rPr>
                                  <w:sz w:val="24"/>
                                </w:rPr>
                                <w:t>Оценка сильных и слабых сторон предприятия</w:t>
                              </w:r>
                            </w:p>
                          </w:txbxContent>
                        </wps:txbx>
                        <wps:bodyPr rot="0" vert="horz" wrap="square" lIns="91440" tIns="45720" rIns="91440" bIns="45720" anchor="t" anchorCtr="0" upright="1">
                          <a:noAutofit/>
                        </wps:bodyPr>
                      </wps:wsp>
                      <wps:wsp>
                        <wps:cNvPr id="2248" name="Line 462"/>
                        <wps:cNvCnPr/>
                        <wps:spPr bwMode="auto">
                          <a:xfrm>
                            <a:off x="6021" y="3729"/>
                            <a:ext cx="0" cy="3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9" name="AutoShape 463"/>
                        <wps:cNvSpPr>
                          <a:spLocks noChangeArrowheads="1"/>
                        </wps:cNvSpPr>
                        <wps:spPr bwMode="auto">
                          <a:xfrm>
                            <a:off x="3487" y="4073"/>
                            <a:ext cx="5068" cy="561"/>
                          </a:xfrm>
                          <a:prstGeom prst="roundRect">
                            <a:avLst>
                              <a:gd name="adj" fmla="val 16667"/>
                            </a:avLst>
                          </a:prstGeom>
                          <a:solidFill>
                            <a:srgbClr val="FFFFFF"/>
                          </a:solidFill>
                          <a:ln w="9525">
                            <a:solidFill>
                              <a:srgbClr val="000000"/>
                            </a:solidFill>
                            <a:round/>
                            <a:headEnd/>
                            <a:tailEnd/>
                          </a:ln>
                        </wps:spPr>
                        <wps:txbx>
                          <w:txbxContent>
                            <w:p w:rsidR="005D7124" w:rsidRPr="00BB2C88" w:rsidRDefault="005D7124" w:rsidP="005D7124">
                              <w:pPr>
                                <w:jc w:val="center"/>
                                <w:rPr>
                                  <w:sz w:val="24"/>
                                </w:rPr>
                              </w:pPr>
                              <w:r w:rsidRPr="00BB2C88">
                                <w:rPr>
                                  <w:sz w:val="24"/>
                                </w:rPr>
                                <w:t>Анализ причин слабых сторон предприятия</w:t>
                              </w:r>
                            </w:p>
                          </w:txbxContent>
                        </wps:txbx>
                        <wps:bodyPr rot="0" vert="horz" wrap="square" lIns="91440" tIns="45720" rIns="91440" bIns="45720" anchor="t" anchorCtr="0" upright="1">
                          <a:noAutofit/>
                        </wps:bodyPr>
                      </wps:wsp>
                      <wps:wsp>
                        <wps:cNvPr id="2250" name="Line 464"/>
                        <wps:cNvCnPr/>
                        <wps:spPr bwMode="auto">
                          <a:xfrm>
                            <a:off x="6021" y="4623"/>
                            <a:ext cx="0" cy="3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1" name="AutoShape 465"/>
                        <wps:cNvSpPr>
                          <a:spLocks noChangeArrowheads="1"/>
                        </wps:cNvSpPr>
                        <wps:spPr bwMode="auto">
                          <a:xfrm>
                            <a:off x="3487" y="4985"/>
                            <a:ext cx="5068" cy="554"/>
                          </a:xfrm>
                          <a:prstGeom prst="roundRect">
                            <a:avLst>
                              <a:gd name="adj" fmla="val 16667"/>
                            </a:avLst>
                          </a:prstGeom>
                          <a:solidFill>
                            <a:srgbClr val="FFFFFF"/>
                          </a:solidFill>
                          <a:ln w="9525">
                            <a:solidFill>
                              <a:srgbClr val="000000"/>
                            </a:solidFill>
                            <a:round/>
                            <a:headEnd/>
                            <a:tailEnd/>
                          </a:ln>
                        </wps:spPr>
                        <wps:txbx>
                          <w:txbxContent>
                            <w:p w:rsidR="005D7124" w:rsidRPr="00BB2C88" w:rsidRDefault="005D7124" w:rsidP="005D7124">
                              <w:pPr>
                                <w:jc w:val="center"/>
                                <w:rPr>
                                  <w:sz w:val="24"/>
                                </w:rPr>
                              </w:pPr>
                              <w:r w:rsidRPr="00BB2C88">
                                <w:rPr>
                                  <w:sz w:val="24"/>
                                </w:rPr>
                                <w:t>Поиск пу</w:t>
                              </w:r>
                              <w:r>
                                <w:rPr>
                                  <w:sz w:val="24"/>
                                </w:rPr>
                                <w:t>тей искоренения слабых сторон</w:t>
                              </w:r>
                            </w:p>
                          </w:txbxContent>
                        </wps:txbx>
                        <wps:bodyPr rot="0" vert="horz" wrap="square" lIns="91440" tIns="45720" rIns="91440" bIns="45720" anchor="t" anchorCtr="0" upright="1">
                          <a:noAutofit/>
                        </wps:bodyPr>
                      </wps:wsp>
                      <wps:wsp>
                        <wps:cNvPr id="2252" name="Line 466"/>
                        <wps:cNvCnPr/>
                        <wps:spPr bwMode="auto">
                          <a:xfrm>
                            <a:off x="6021" y="5539"/>
                            <a:ext cx="0" cy="3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3" name="AutoShape 467"/>
                        <wps:cNvSpPr>
                          <a:spLocks noChangeArrowheads="1"/>
                        </wps:cNvSpPr>
                        <wps:spPr bwMode="auto">
                          <a:xfrm>
                            <a:off x="3487" y="5901"/>
                            <a:ext cx="5068" cy="905"/>
                          </a:xfrm>
                          <a:prstGeom prst="roundRect">
                            <a:avLst>
                              <a:gd name="adj" fmla="val 16667"/>
                            </a:avLst>
                          </a:prstGeom>
                          <a:solidFill>
                            <a:srgbClr val="FFFFFF"/>
                          </a:solidFill>
                          <a:ln w="9525">
                            <a:solidFill>
                              <a:srgbClr val="000000"/>
                            </a:solidFill>
                            <a:round/>
                            <a:headEnd/>
                            <a:tailEnd/>
                          </a:ln>
                        </wps:spPr>
                        <wps:txbx>
                          <w:txbxContent>
                            <w:p w:rsidR="005D7124" w:rsidRPr="00BB2C88" w:rsidRDefault="005D7124" w:rsidP="005D7124">
                              <w:pPr>
                                <w:jc w:val="center"/>
                                <w:rPr>
                                  <w:sz w:val="24"/>
                                </w:rPr>
                              </w:pPr>
                              <w:r w:rsidRPr="00BB2C88">
                                <w:rPr>
                                  <w:sz w:val="24"/>
                                </w:rPr>
                                <w:t>Поиск контролируемых рычагов влияния (</w:t>
                              </w:r>
                              <w:r>
                                <w:rPr>
                                  <w:sz w:val="24"/>
                                </w:rPr>
                                <w:t>средств и процессов</w:t>
                              </w:r>
                              <w:r w:rsidRPr="00BB2C88">
                                <w:rPr>
                                  <w:sz w:val="2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44FD3" id="Group 458" o:spid="_x0000_s1026" style="position:absolute;left:0;text-align:left;margin-left:118.05pt;margin-top:15pt;width:253.4pt;height:210pt;z-index:251659264" coordorigin="3487,1919" coordsize="5068,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">
                <v:roundrect id="AutoShape 459" o:spid="_x0000_s1027" style="position:absolute;left:3487;top:1919;width:5068;height:5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">
                  <v:textbox>
                    <w:txbxContent>
                      <w:p w:rsidR="005D7124" w:rsidRPr="00BB2C88" w:rsidRDefault="005D7124" w:rsidP="005D7124">
                        <w:pPr>
                          <w:jc w:val="center"/>
                          <w:rPr>
                            <w:sz w:val="24"/>
                          </w:rPr>
                        </w:pPr>
                        <w:r w:rsidRPr="00BB2C88">
                          <w:rPr>
                            <w:sz w:val="24"/>
                          </w:rPr>
                          <w:t>Анализ рыночной ситуации</w:t>
                        </w:r>
                      </w:p>
                    </w:txbxContent>
                  </v:textbox>
                </v:roundrect>
                <v:line id="Line 460" o:spid="_x0000_s1028" style="position:absolute;visibility:visible;mso-wrap-style:square" from="6021,2462" to="6021,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" strokeweight="2.25pt">
                  <v:stroke endarrow="block"/>
                </v:line>
                <v:roundrect id="AutoShape 461" o:spid="_x0000_s1029" style="position:absolute;left:3487;top:2800;width:5068;height:9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">
                  <v:textbox>
                    <w:txbxContent>
                      <w:p w:rsidR="005D7124" w:rsidRPr="00BB2C88" w:rsidRDefault="005D7124" w:rsidP="005D7124">
                        <w:pPr>
                          <w:jc w:val="center"/>
                          <w:rPr>
                            <w:sz w:val="24"/>
                          </w:rPr>
                        </w:pPr>
                        <w:r w:rsidRPr="00BB2C88">
                          <w:rPr>
                            <w:sz w:val="24"/>
                          </w:rPr>
                          <w:t>Оценка сильных и слабых сторон предприятия</w:t>
                        </w:r>
                      </w:p>
                    </w:txbxContent>
                  </v:textbox>
                </v:roundrect>
                <v:line id="Line 462" o:spid="_x0000_s1030" style="position:absolute;visibility:visible;mso-wrap-style:square" from="6021,3729" to="6021,4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" strokeweight="2.25pt">
                  <v:stroke endarrow="block"/>
                </v:line>
                <v:roundrect id="AutoShape 463" o:spid="_x0000_s1031" style="position:absolute;left:3487;top:4073;width:5068;height:5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">
                  <v:textbox>
                    <w:txbxContent>
                      <w:p w:rsidR="005D7124" w:rsidRPr="00BB2C88" w:rsidRDefault="005D7124" w:rsidP="005D7124">
                        <w:pPr>
                          <w:jc w:val="center"/>
                          <w:rPr>
                            <w:sz w:val="24"/>
                          </w:rPr>
                        </w:pPr>
                        <w:r w:rsidRPr="00BB2C88">
                          <w:rPr>
                            <w:sz w:val="24"/>
                          </w:rPr>
                          <w:t>Анализ причин слабых сторон предприятия</w:t>
                        </w:r>
                      </w:p>
                    </w:txbxContent>
                  </v:textbox>
                </v:roundrect>
                <v:line id="Line 464" o:spid="_x0000_s1032" style="position:absolute;visibility:visible;mso-wrap-style:square" from="6021,4623" to="6021,4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" strokeweight="2.25pt">
                  <v:stroke endarrow="block"/>
                </v:line>
                <v:roundrect id="AutoShape 465" o:spid="_x0000_s1033" style="position:absolute;left:3487;top:4985;width:5068;height:5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">
                  <v:textbox>
                    <w:txbxContent>
                      <w:p w:rsidR="005D7124" w:rsidRPr="00BB2C88" w:rsidRDefault="005D7124" w:rsidP="005D7124">
                        <w:pPr>
                          <w:jc w:val="center"/>
                          <w:rPr>
                            <w:sz w:val="24"/>
                          </w:rPr>
                        </w:pPr>
                        <w:r w:rsidRPr="00BB2C88">
                          <w:rPr>
                            <w:sz w:val="24"/>
                          </w:rPr>
                          <w:t>Поиск пу</w:t>
                        </w:r>
                        <w:r>
                          <w:rPr>
                            <w:sz w:val="24"/>
                          </w:rPr>
                          <w:t>тей искоренения слабых сторон</w:t>
                        </w:r>
                      </w:p>
                    </w:txbxContent>
                  </v:textbox>
                </v:roundrect>
                <v:line id="Line 466" o:spid="_x0000_s1034" style="position:absolute;visibility:visible;mso-wrap-style:square" from="6021,5539" to="6021,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" strokeweight="2.25pt">
                  <v:stroke endarrow="block"/>
                </v:line>
                <v:roundrect id="AutoShape 467" o:spid="_x0000_s1035" style="position:absolute;left:3487;top:5901;width:5068;height:9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">
                  <v:textbox>
                    <w:txbxContent>
                      <w:p w:rsidR="005D7124" w:rsidRPr="00BB2C88" w:rsidRDefault="005D7124" w:rsidP="005D7124">
                        <w:pPr>
                          <w:jc w:val="center"/>
                          <w:rPr>
                            <w:sz w:val="24"/>
                          </w:rPr>
                        </w:pPr>
                        <w:r w:rsidRPr="00BB2C88">
                          <w:rPr>
                            <w:sz w:val="24"/>
                          </w:rPr>
                          <w:t>Поиск контролируемых рычагов влияния (</w:t>
                        </w:r>
                        <w:r>
                          <w:rPr>
                            <w:sz w:val="24"/>
                          </w:rPr>
                          <w:t>средств и процессов</w:t>
                        </w:r>
                        <w:r w:rsidRPr="00BB2C88">
                          <w:rPr>
                            <w:sz w:val="24"/>
                          </w:rPr>
                          <w:t>)</w:t>
                        </w:r>
                      </w:p>
                    </w:txbxContent>
                  </v:textbox>
                </v:roundrect>
              </v:group>
            </w:pict>
          </mc:Fallback>
        </mc:AlternateConten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p>
    <w:p w:rsidR="005D7124" w:rsidRPr="005D7124" w:rsidRDefault="005D7124" w:rsidP="005D7124">
      <w:pPr>
        <w:spacing w:after="0" w:line="240" w:lineRule="auto"/>
        <w:jc w:val="center"/>
        <w:rPr>
          <w:rFonts w:ascii="Times New Roman" w:eastAsia="Times New Roman" w:hAnsi="Times New Roman" w:cs="Times New Roman"/>
          <w:sz w:val="28"/>
          <w:szCs w:val="24"/>
          <w:lang w:eastAsia="ru-RU"/>
        </w:rPr>
      </w:pPr>
      <w:r w:rsidRPr="005D7124">
        <w:rPr>
          <w:rFonts w:ascii="Times New Roman" w:eastAsia="Times New Roman" w:hAnsi="Times New Roman" w:cs="Times New Roman"/>
          <w:sz w:val="28"/>
          <w:szCs w:val="24"/>
          <w:lang w:eastAsia="ru-RU"/>
        </w:rPr>
        <w:lastRenderedPageBreak/>
        <w:t>Рис.1. Этапы процесса планирования механизма обеспечения устойчивости маркетинговой деятельности предприятия</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sz w:val="28"/>
          <w:szCs w:val="24"/>
          <w:lang w:eastAsia="ru-RU"/>
        </w:rPr>
        <w:t xml:space="preserve">Планирование механизма обеспечения устойчивости маркетинговой деятельности предприятия начинается с анализа сложившейся рыночной ситуации. На данном этапе обязательным является оценка емкости и потенциала рынка. Также на данном этапе выполняется общий анализ основных участников рынка, оценка степени насыщенности рынка товарными предложениями и их востребованности. Среди участников рынка необходимо выделить и охарактеризовать главных конкурентов предприятия (схема дистрибуции, структура продуктовой линейки, целевая аудитория, каналы продвижения, оценка маркетинговых бюджетов и т. д.). </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sz w:val="28"/>
          <w:szCs w:val="24"/>
          <w:lang w:eastAsia="ru-RU"/>
        </w:rPr>
        <w:t xml:space="preserve">Следующий этап – оценка сильных и слабых сторон предприятия. Для выполнения такой оценки получили распространение специальные методы анализа внешней и внутренней среды предприятия: PEST-анализ, Матрица Мак-Кинси, STEP-анализ, SNW-анализ, SWOT-анализ и др. Особо следует выделить SWOT-анализ, позволяющий выявить не только сильные и слабые стороны предприятия, но и определить возможности и угрозы предприятия. </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sz w:val="28"/>
          <w:szCs w:val="24"/>
          <w:lang w:eastAsia="ru-RU"/>
        </w:rPr>
        <w:t>SWOT-анализ позволяет объединить данный этап планирования механизма со следующим этапом – анализом причин слабых сторон предприятия, поскольку SWOT-анализ, как правило, формулирует меры и действия по минимизации последствий угроз, а этого сделать невозможно без глубокого понимания причин уязвимых сторон предприятия.</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sz w:val="28"/>
          <w:szCs w:val="24"/>
          <w:lang w:eastAsia="ru-RU"/>
        </w:rPr>
        <w:t>После выяснения причин слабых сторон, предприятие концентрируется на поиске путей искоренения этих сторон. В этом вопросе предприятию целесообразно обратить внимание на своих конкурентов, поскольку, возможно, конкуренты уже сталкивались с аналогичными проблемами, и целесообразно было бы перенять их опыт, если, конечно, такая возможность представится.</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sz w:val="28"/>
          <w:szCs w:val="24"/>
          <w:lang w:eastAsia="ru-RU"/>
        </w:rPr>
        <w:t xml:space="preserve">Заключительный этап связан непосредственно с поиском контролируемых рычагов влияния, то есть подходящих средств и процессов механизма обеспечения устойчивости маркетинговой деятельности как совокупности мер и инструментов воздействия на соответствующие аспекты и результаты деятельности. Как правило, такими рычагами влияния могут быть доля рынка компании; динамика доли рынка компании; масштабы и рентабельность продаж; количество сегментов рынка, на которых представлена продукция предприятия; каналы товародвижения; известность и имидж торговой марки (бренд); лояльность клиентов; эффективность рекламных кампаний и товарный ассортимент предприятия. В каждом конкретном случае необходимо задействовать подходящий набор рычагов влияния, действенность которых должна быть оценена соответствующими показателями, характеризующими маркетинговую устойчивость предприятия и раскрывающими маркетинговый потенциал предприятия. </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sz w:val="28"/>
          <w:szCs w:val="24"/>
          <w:lang w:eastAsia="ru-RU"/>
        </w:rPr>
        <w:t xml:space="preserve">Среди показателей оценивания маркетинговой устойчивости предприятия, следует выделить показатели, на которые предприятие в силах </w:t>
      </w:r>
      <w:r w:rsidRPr="005D7124">
        <w:rPr>
          <w:rFonts w:ascii="Times New Roman" w:eastAsia="Times New Roman" w:hAnsi="Times New Roman" w:cs="Times New Roman"/>
          <w:sz w:val="28"/>
          <w:szCs w:val="24"/>
          <w:lang w:eastAsia="ru-RU"/>
        </w:rPr>
        <w:lastRenderedPageBreak/>
        <w:t>повлиять (например, к таким показателям могут быть отнесены доля рынка компании, динамика доли рынка компании, эффективность рекламных кампаний и т.д.). Данные показатели, в частности, их нормальные значения, следует рассматривать в качестве индикаторов устойчивости, а процессы обеспечения их нормальных значений – инструментами механизма обеспечения устойчивости маркетинговой деятельности предприятия. Из этого также следует, что не все показатели устойчивости маркетинговой деятельности могут рассматриваться и в качестве контрольных индикаторов устойчивости, и в качестве средств механизма обеспечения маркетинговой устойчивости: в качестве таких средств следует использовать только те показатели, на которые предприятие в силах повлиять для управления состоянием своей деятельности.</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sz w:val="28"/>
          <w:szCs w:val="24"/>
          <w:lang w:eastAsia="ru-RU"/>
        </w:rPr>
        <w:t xml:space="preserve">В зависимости от вида используемого показателя, они сравниваются либо в динамике за определенный период времени, либо с аналогичными показателями конкурентов. Когда показатели принимают положительное значение, они способствуют обеспечению маркетинговой устойчивости предприятия, поскольку предприятие выпускает нужную продукцию, пользующуюся спросом и удовлетворяющую потребности потребителей, что, следовательно, приносит предприятию прибыль. Если же показатели наоборот, имеют отрицательное значение или негативную тенденцию – это свидетельствует о неверной стратегии предприятия, что приводит как к маркетинговой неустойчивости, так и к неустойчивости функционирования предприятия в целом. Поддержание значений данных показателей в нормальном стабильном состоянии и является главным направлением деятельности по обеспечению маркетинговой устойчивости предприятия. </w:t>
      </w:r>
    </w:p>
    <w:p w:rsidR="005D7124" w:rsidRPr="005D7124" w:rsidRDefault="005D7124" w:rsidP="005D7124">
      <w:pPr>
        <w:spacing w:after="0" w:line="240" w:lineRule="auto"/>
        <w:ind w:firstLine="709"/>
        <w:jc w:val="both"/>
        <w:rPr>
          <w:rFonts w:ascii="Times New Roman" w:eastAsia="Times New Roman" w:hAnsi="Times New Roman" w:cs="Times New Roman"/>
          <w:sz w:val="28"/>
          <w:szCs w:val="24"/>
          <w:lang w:eastAsia="ru-RU"/>
        </w:rPr>
      </w:pPr>
      <w:r w:rsidRPr="005D7124">
        <w:rPr>
          <w:rFonts w:ascii="Times New Roman" w:eastAsia="Times New Roman" w:hAnsi="Times New Roman" w:cs="Times New Roman"/>
          <w:b/>
          <w:sz w:val="28"/>
          <w:szCs w:val="24"/>
          <w:lang w:eastAsia="ru-RU"/>
        </w:rPr>
        <w:t>Выводы.</w:t>
      </w:r>
      <w:r w:rsidRPr="005D7124">
        <w:rPr>
          <w:rFonts w:ascii="Times New Roman" w:eastAsia="Times New Roman" w:hAnsi="Times New Roman" w:cs="Times New Roman"/>
          <w:sz w:val="28"/>
          <w:szCs w:val="24"/>
          <w:lang w:eastAsia="ru-RU"/>
        </w:rPr>
        <w:t xml:space="preserve"> Рассмотренные этапы процесса планирования механизма обеспечения устойчивости маркетинговой деятельности предприятия определяют только необходимые шаги для оптимальной настройки такого механизма. Не существует механизма обеспечения устойчивости маркетинговой деятельности в одинаковой мере оптимального для всех предприятий. Такой механизм приходится создавать специально для каждого предприятия с учетом его отраслевой специфики, масштабов, направлений рыночной деятельности и т.д. Дальнейшие исследования будут направлены на разработку методики оптимальной настройки такого механизма.</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5D7124" w:rsidRPr="005D7124" w:rsidTr="00BB1D7C">
        <w:trPr>
          <w:jc w:val="center"/>
        </w:trPr>
        <w:tc>
          <w:tcPr>
            <w:tcW w:w="5000" w:type="pct"/>
            <w:gridSpan w:val="2"/>
          </w:tcPr>
          <w:p w:rsidR="005D7124" w:rsidRPr="005D7124" w:rsidRDefault="005D7124" w:rsidP="005D7124">
            <w:pPr>
              <w:contextualSpacing/>
              <w:jc w:val="both"/>
              <w:rPr>
                <w:rFonts w:ascii="Times New Roman" w:eastAsia="Calibri" w:hAnsi="Times New Roman"/>
                <w:sz w:val="24"/>
                <w:szCs w:val="24"/>
              </w:rPr>
            </w:pPr>
          </w:p>
        </w:tc>
      </w:tr>
      <w:tr w:rsidR="005D7124" w:rsidRPr="005D7124" w:rsidTr="00BB1D7C">
        <w:trPr>
          <w:jc w:val="center"/>
        </w:trPr>
        <w:tc>
          <w:tcPr>
            <w:tcW w:w="5000" w:type="pct"/>
            <w:gridSpan w:val="2"/>
          </w:tcPr>
          <w:p w:rsidR="005D7124" w:rsidRPr="005D7124" w:rsidRDefault="005D7124" w:rsidP="005D7124">
            <w:pPr>
              <w:ind w:firstLine="709"/>
              <w:jc w:val="center"/>
              <w:rPr>
                <w:rFonts w:ascii="Times New Roman" w:hAnsi="Times New Roman"/>
                <w:b/>
                <w:sz w:val="28"/>
                <w:szCs w:val="28"/>
              </w:rPr>
            </w:pPr>
            <w:r w:rsidRPr="005D7124">
              <w:rPr>
                <w:rFonts w:ascii="Times New Roman" w:hAnsi="Times New Roman"/>
                <w:b/>
                <w:sz w:val="28"/>
                <w:szCs w:val="28"/>
              </w:rPr>
              <w:t>Список литературы</w:t>
            </w:r>
          </w:p>
        </w:tc>
      </w:tr>
      <w:tr w:rsidR="005D7124" w:rsidRPr="005D7124" w:rsidTr="00BB1D7C">
        <w:trPr>
          <w:trHeight w:val="1492"/>
          <w:jc w:val="center"/>
        </w:trPr>
        <w:tc>
          <w:tcPr>
            <w:tcW w:w="293" w:type="pct"/>
          </w:tcPr>
          <w:p w:rsidR="005D7124" w:rsidRPr="005D7124" w:rsidRDefault="005D7124" w:rsidP="005D7124">
            <w:pPr>
              <w:widowControl w:val="0"/>
              <w:numPr>
                <w:ilvl w:val="0"/>
                <w:numId w:val="2"/>
              </w:numPr>
              <w:contextualSpacing/>
              <w:jc w:val="both"/>
              <w:rPr>
                <w:rFonts w:ascii="Times New Roman" w:eastAsia="Calibri" w:hAnsi="Times New Roman"/>
                <w:sz w:val="24"/>
                <w:szCs w:val="24"/>
              </w:rPr>
            </w:pPr>
          </w:p>
        </w:tc>
        <w:tc>
          <w:tcPr>
            <w:tcW w:w="4707" w:type="pct"/>
          </w:tcPr>
          <w:p w:rsidR="005D7124" w:rsidRPr="005D7124" w:rsidRDefault="005D7124" w:rsidP="005D7124">
            <w:pPr>
              <w:contextualSpacing/>
              <w:jc w:val="both"/>
              <w:rPr>
                <w:rFonts w:ascii="Times New Roman" w:eastAsia="Calibri" w:hAnsi="Times New Roman"/>
                <w:sz w:val="24"/>
                <w:szCs w:val="24"/>
              </w:rPr>
            </w:pPr>
            <w:r w:rsidRPr="005D7124">
              <w:rPr>
                <w:rFonts w:ascii="Times New Roman" w:eastAsia="Calibri" w:hAnsi="Times New Roman"/>
                <w:sz w:val="24"/>
                <w:szCs w:val="24"/>
              </w:rPr>
              <w:t>Ковалева, Е. А. Сущность планирования и его актуальность для предприятия в условиях рыночной экономики / Е. А. Ковалева ; науч. рук. Т. Г. Рыжакина // Экономика России в XXI веке : сборник научных трудов XII Международной научно-практической конференции «Экономические науки и прикладные исследования», г. Томск, 17-21 ноября 2015 г. : в 2 т. – Томск : Изд-во ТПУ, 2015. – Т. 2. – С. 356-362</w:t>
            </w:r>
          </w:p>
        </w:tc>
      </w:tr>
      <w:tr w:rsidR="005D7124" w:rsidRPr="005D7124" w:rsidTr="00BB1D7C">
        <w:trPr>
          <w:trHeight w:val="847"/>
          <w:jc w:val="center"/>
        </w:trPr>
        <w:tc>
          <w:tcPr>
            <w:tcW w:w="293" w:type="pct"/>
          </w:tcPr>
          <w:p w:rsidR="005D7124" w:rsidRPr="005D7124" w:rsidRDefault="005D7124" w:rsidP="005D7124">
            <w:pPr>
              <w:widowControl w:val="0"/>
              <w:numPr>
                <w:ilvl w:val="0"/>
                <w:numId w:val="2"/>
              </w:numPr>
              <w:contextualSpacing/>
              <w:jc w:val="both"/>
              <w:rPr>
                <w:rFonts w:ascii="Times New Roman" w:eastAsia="Calibri" w:hAnsi="Times New Roman"/>
                <w:sz w:val="24"/>
                <w:szCs w:val="24"/>
              </w:rPr>
            </w:pPr>
          </w:p>
        </w:tc>
        <w:tc>
          <w:tcPr>
            <w:tcW w:w="4707" w:type="pct"/>
          </w:tcPr>
          <w:p w:rsidR="005D7124" w:rsidRPr="005D7124" w:rsidRDefault="005D7124" w:rsidP="005D7124">
            <w:pPr>
              <w:contextualSpacing/>
              <w:jc w:val="both"/>
              <w:rPr>
                <w:rFonts w:ascii="Times New Roman" w:eastAsia="Calibri" w:hAnsi="Times New Roman"/>
                <w:sz w:val="24"/>
                <w:szCs w:val="24"/>
              </w:rPr>
            </w:pPr>
            <w:r w:rsidRPr="005D7124">
              <w:rPr>
                <w:rFonts w:ascii="Times New Roman" w:eastAsia="Calibri" w:hAnsi="Times New Roman"/>
                <w:sz w:val="24"/>
                <w:szCs w:val="24"/>
              </w:rPr>
              <w:t>Нестеренко, Т. В. Планирование ассортимента услуг: проблемы и особенности формирования / Т.</w:t>
            </w:r>
            <w:r w:rsidRPr="005D7124">
              <w:rPr>
                <w:rFonts w:ascii="Times New Roman" w:eastAsia="Calibri" w:hAnsi="Times New Roman"/>
                <w:sz w:val="24"/>
                <w:szCs w:val="24"/>
                <w:lang w:val="uk-UA"/>
              </w:rPr>
              <w:t> </w:t>
            </w:r>
            <w:r w:rsidRPr="005D7124">
              <w:rPr>
                <w:rFonts w:ascii="Times New Roman" w:eastAsia="Calibri" w:hAnsi="Times New Roman"/>
                <w:sz w:val="24"/>
                <w:szCs w:val="24"/>
              </w:rPr>
              <w:t>В.</w:t>
            </w:r>
            <w:r w:rsidRPr="005D7124">
              <w:rPr>
                <w:rFonts w:ascii="Times New Roman" w:eastAsia="Calibri" w:hAnsi="Times New Roman"/>
                <w:sz w:val="24"/>
                <w:szCs w:val="24"/>
                <w:lang w:val="uk-UA"/>
              </w:rPr>
              <w:t> </w:t>
            </w:r>
            <w:r w:rsidRPr="005D7124">
              <w:rPr>
                <w:rFonts w:ascii="Times New Roman" w:eastAsia="Calibri" w:hAnsi="Times New Roman"/>
                <w:sz w:val="24"/>
                <w:szCs w:val="24"/>
              </w:rPr>
              <w:t>Нестеренко, Ю.</w:t>
            </w:r>
            <w:r w:rsidRPr="005D7124">
              <w:rPr>
                <w:rFonts w:ascii="Times New Roman" w:eastAsia="Calibri" w:hAnsi="Times New Roman"/>
                <w:sz w:val="24"/>
                <w:szCs w:val="24"/>
                <w:lang w:val="uk-UA"/>
              </w:rPr>
              <w:t> </w:t>
            </w:r>
            <w:r w:rsidRPr="005D7124">
              <w:rPr>
                <w:rFonts w:ascii="Times New Roman" w:eastAsia="Calibri" w:hAnsi="Times New Roman"/>
                <w:sz w:val="24"/>
                <w:szCs w:val="24"/>
              </w:rPr>
              <w:t>И.</w:t>
            </w:r>
            <w:r w:rsidRPr="005D7124">
              <w:rPr>
                <w:rFonts w:ascii="Times New Roman" w:eastAsia="Calibri" w:hAnsi="Times New Roman"/>
                <w:sz w:val="24"/>
                <w:szCs w:val="24"/>
                <w:lang w:val="uk-UA"/>
              </w:rPr>
              <w:t> </w:t>
            </w:r>
            <w:r w:rsidRPr="005D7124">
              <w:rPr>
                <w:rFonts w:ascii="Times New Roman" w:eastAsia="Calibri" w:hAnsi="Times New Roman"/>
                <w:sz w:val="24"/>
                <w:szCs w:val="24"/>
              </w:rPr>
              <w:t>Гущина, Н. В.</w:t>
            </w:r>
            <w:r w:rsidRPr="005D7124">
              <w:rPr>
                <w:rFonts w:ascii="Times New Roman" w:eastAsia="Calibri" w:hAnsi="Times New Roman"/>
                <w:sz w:val="24"/>
                <w:szCs w:val="24"/>
                <w:lang w:val="uk-UA"/>
              </w:rPr>
              <w:t> </w:t>
            </w:r>
            <w:r w:rsidRPr="005D7124">
              <w:rPr>
                <w:rFonts w:ascii="Times New Roman" w:eastAsia="Calibri" w:hAnsi="Times New Roman"/>
                <w:sz w:val="24"/>
                <w:szCs w:val="24"/>
              </w:rPr>
              <w:t>Иевлева, О. А.</w:t>
            </w:r>
            <w:r w:rsidRPr="005D7124">
              <w:rPr>
                <w:rFonts w:ascii="Times New Roman" w:eastAsia="Calibri" w:hAnsi="Times New Roman"/>
                <w:sz w:val="24"/>
                <w:szCs w:val="24"/>
                <w:lang w:val="uk-UA"/>
              </w:rPr>
              <w:t> </w:t>
            </w:r>
            <w:r w:rsidRPr="005D7124">
              <w:rPr>
                <w:rFonts w:ascii="Times New Roman" w:eastAsia="Calibri" w:hAnsi="Times New Roman"/>
                <w:sz w:val="24"/>
                <w:szCs w:val="24"/>
              </w:rPr>
              <w:t>Гаврилова // Российское предпринимательство. – 2017. – Том 18. – № 1. – С. 11-21.</w:t>
            </w:r>
          </w:p>
        </w:tc>
      </w:tr>
      <w:tr w:rsidR="005D7124" w:rsidRPr="005D7124" w:rsidTr="00BB1D7C">
        <w:trPr>
          <w:trHeight w:val="986"/>
          <w:jc w:val="center"/>
        </w:trPr>
        <w:tc>
          <w:tcPr>
            <w:tcW w:w="293" w:type="pct"/>
          </w:tcPr>
          <w:p w:rsidR="005D7124" w:rsidRPr="005D7124" w:rsidRDefault="005D7124" w:rsidP="005D7124">
            <w:pPr>
              <w:widowControl w:val="0"/>
              <w:numPr>
                <w:ilvl w:val="0"/>
                <w:numId w:val="2"/>
              </w:numPr>
              <w:contextualSpacing/>
              <w:jc w:val="both"/>
              <w:rPr>
                <w:rFonts w:ascii="Times New Roman" w:eastAsia="Calibri" w:hAnsi="Times New Roman"/>
                <w:sz w:val="24"/>
                <w:szCs w:val="24"/>
              </w:rPr>
            </w:pPr>
          </w:p>
        </w:tc>
        <w:tc>
          <w:tcPr>
            <w:tcW w:w="4707" w:type="pct"/>
          </w:tcPr>
          <w:p w:rsidR="005D7124" w:rsidRPr="005D7124" w:rsidRDefault="005D7124" w:rsidP="005D7124">
            <w:pPr>
              <w:contextualSpacing/>
              <w:jc w:val="both"/>
              <w:rPr>
                <w:rFonts w:ascii="Times New Roman" w:eastAsia="Calibri" w:hAnsi="Times New Roman"/>
                <w:sz w:val="24"/>
                <w:szCs w:val="24"/>
              </w:rPr>
            </w:pPr>
            <w:r w:rsidRPr="005D7124">
              <w:rPr>
                <w:rFonts w:ascii="Times New Roman" w:eastAsia="Calibri" w:hAnsi="Times New Roman"/>
                <w:sz w:val="24"/>
                <w:szCs w:val="24"/>
              </w:rPr>
              <w:t>Жариков,</w:t>
            </w:r>
            <w:r w:rsidRPr="005D7124">
              <w:rPr>
                <w:rFonts w:ascii="Times New Roman" w:eastAsia="Calibri" w:hAnsi="Times New Roman"/>
                <w:sz w:val="24"/>
                <w:szCs w:val="24"/>
                <w:lang w:val="uk-UA"/>
              </w:rPr>
              <w:t> </w:t>
            </w:r>
            <w:r w:rsidRPr="005D7124">
              <w:rPr>
                <w:rFonts w:ascii="Times New Roman" w:eastAsia="Calibri" w:hAnsi="Times New Roman"/>
                <w:sz w:val="24"/>
                <w:szCs w:val="24"/>
              </w:rPr>
              <w:t>Р.</w:t>
            </w:r>
            <w:r w:rsidRPr="005D7124">
              <w:rPr>
                <w:rFonts w:ascii="Times New Roman" w:eastAsia="Calibri" w:hAnsi="Times New Roman"/>
                <w:sz w:val="24"/>
                <w:szCs w:val="24"/>
                <w:lang w:val="uk-UA"/>
              </w:rPr>
              <w:t> </w:t>
            </w:r>
            <w:r w:rsidRPr="005D7124">
              <w:rPr>
                <w:rFonts w:ascii="Times New Roman" w:eastAsia="Calibri" w:hAnsi="Times New Roman"/>
                <w:sz w:val="24"/>
                <w:szCs w:val="24"/>
              </w:rPr>
              <w:t>В. Планирование маркетинга на предприятиях в рыночных условиях / Р.</w:t>
            </w:r>
            <w:r w:rsidRPr="005D7124">
              <w:rPr>
                <w:rFonts w:ascii="Times New Roman" w:eastAsia="Calibri" w:hAnsi="Times New Roman"/>
                <w:sz w:val="24"/>
                <w:szCs w:val="24"/>
                <w:lang w:val="uk-UA"/>
              </w:rPr>
              <w:t> </w:t>
            </w:r>
            <w:r w:rsidRPr="005D7124">
              <w:rPr>
                <w:rFonts w:ascii="Times New Roman" w:eastAsia="Calibri" w:hAnsi="Times New Roman"/>
                <w:sz w:val="24"/>
                <w:szCs w:val="24"/>
              </w:rPr>
              <w:t>В.</w:t>
            </w:r>
            <w:r w:rsidRPr="005D7124">
              <w:rPr>
                <w:rFonts w:ascii="Times New Roman" w:eastAsia="Calibri" w:hAnsi="Times New Roman"/>
                <w:sz w:val="24"/>
                <w:szCs w:val="24"/>
                <w:lang w:val="uk-UA"/>
              </w:rPr>
              <w:t> </w:t>
            </w:r>
            <w:r w:rsidRPr="005D7124">
              <w:rPr>
                <w:rFonts w:ascii="Times New Roman" w:eastAsia="Calibri" w:hAnsi="Times New Roman"/>
                <w:sz w:val="24"/>
                <w:szCs w:val="24"/>
              </w:rPr>
              <w:t>Жариков, С.</w:t>
            </w:r>
            <w:r w:rsidRPr="005D7124">
              <w:rPr>
                <w:rFonts w:ascii="Times New Roman" w:eastAsia="Calibri" w:hAnsi="Times New Roman"/>
                <w:sz w:val="24"/>
                <w:szCs w:val="24"/>
                <w:lang w:val="uk-UA"/>
              </w:rPr>
              <w:t> </w:t>
            </w:r>
            <w:r w:rsidRPr="005D7124">
              <w:rPr>
                <w:rFonts w:ascii="Times New Roman" w:eastAsia="Calibri" w:hAnsi="Times New Roman"/>
                <w:sz w:val="24"/>
                <w:szCs w:val="24"/>
              </w:rPr>
              <w:t>М.</w:t>
            </w:r>
            <w:r w:rsidRPr="005D7124">
              <w:rPr>
                <w:rFonts w:ascii="Times New Roman" w:eastAsia="Calibri" w:hAnsi="Times New Roman"/>
                <w:sz w:val="24"/>
                <w:szCs w:val="24"/>
                <w:lang w:val="uk-UA"/>
              </w:rPr>
              <w:t> </w:t>
            </w:r>
            <w:r w:rsidRPr="005D7124">
              <w:rPr>
                <w:rFonts w:ascii="Times New Roman" w:eastAsia="Calibri" w:hAnsi="Times New Roman"/>
                <w:sz w:val="24"/>
                <w:szCs w:val="24"/>
              </w:rPr>
              <w:t>Краснянская // Вопросы современной науки и практики. Университет им. В. И. Вернадского. – 2017. – № 1(63). – С. 55-61.</w:t>
            </w:r>
          </w:p>
        </w:tc>
      </w:tr>
      <w:tr w:rsidR="005D7124" w:rsidRPr="005D7124" w:rsidTr="00BB1D7C">
        <w:trPr>
          <w:jc w:val="center"/>
        </w:trPr>
        <w:tc>
          <w:tcPr>
            <w:tcW w:w="293" w:type="pct"/>
          </w:tcPr>
          <w:p w:rsidR="005D7124" w:rsidRPr="005D7124" w:rsidRDefault="005D7124" w:rsidP="005D7124">
            <w:pPr>
              <w:widowControl w:val="0"/>
              <w:numPr>
                <w:ilvl w:val="0"/>
                <w:numId w:val="2"/>
              </w:numPr>
              <w:contextualSpacing/>
              <w:jc w:val="both"/>
              <w:rPr>
                <w:rFonts w:ascii="Times New Roman" w:eastAsia="Calibri" w:hAnsi="Times New Roman"/>
                <w:sz w:val="24"/>
                <w:szCs w:val="24"/>
              </w:rPr>
            </w:pPr>
          </w:p>
        </w:tc>
        <w:tc>
          <w:tcPr>
            <w:tcW w:w="4707" w:type="pct"/>
          </w:tcPr>
          <w:p w:rsidR="005D7124" w:rsidRPr="005D7124" w:rsidRDefault="005D7124" w:rsidP="005D7124">
            <w:pPr>
              <w:contextualSpacing/>
              <w:jc w:val="both"/>
              <w:rPr>
                <w:rFonts w:ascii="Times New Roman" w:eastAsia="Calibri" w:hAnsi="Times New Roman"/>
                <w:sz w:val="24"/>
                <w:szCs w:val="24"/>
              </w:rPr>
            </w:pPr>
            <w:r w:rsidRPr="005D7124">
              <w:rPr>
                <w:rFonts w:ascii="Times New Roman" w:eastAsia="Calibri" w:hAnsi="Times New Roman"/>
                <w:sz w:val="24"/>
                <w:szCs w:val="24"/>
              </w:rPr>
              <w:t>Исаенко, Е. В. Рыночная устойчивость организации: сущность, структура, факторы формирования / Е. В. Исаенко, М. В. Христова // Вестник Белгородского университета кооперации, экономики и права. – 2012. – № 2 – С. 43-47.</w:t>
            </w:r>
          </w:p>
        </w:tc>
      </w:tr>
    </w:tbl>
    <w:p w:rsidR="00DA6D04" w:rsidRDefault="00DA6D04">
      <w:bookmarkStart w:id="3" w:name="_GoBack"/>
      <w:bookmarkEnd w:id="3"/>
    </w:p>
    <w:sectPr w:rsidR="00DA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18DF"/>
    <w:multiLevelType w:val="hybridMultilevel"/>
    <w:tmpl w:val="3D7640B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21F625E4"/>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24"/>
    <w:rsid w:val="005D7124"/>
    <w:rsid w:val="00DA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A9626-238F-4511-A8E0-C4D48429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71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11173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2018-09-22T06:17:00Z</dcterms:created>
  <dcterms:modified xsi:type="dcterms:W3CDTF">2018-09-22T06:18:00Z</dcterms:modified>
</cp:coreProperties>
</file>