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269"/>
      </w:tblGrid>
      <w:tr w:rsidR="00B26BBC" w:rsidRPr="00B26BBC" w:rsidTr="0098283A">
        <w:tc>
          <w:tcPr>
            <w:tcW w:w="9520" w:type="dxa"/>
            <w:gridSpan w:val="2"/>
            <w:tcMar>
              <w:left w:w="0" w:type="dxa"/>
              <w:right w:w="0" w:type="dxa"/>
            </w:tcMar>
          </w:tcPr>
          <w:p w:rsidR="00B26BBC" w:rsidRPr="00B26BBC" w:rsidRDefault="00B26BBC" w:rsidP="00B26BBC">
            <w:pPr>
              <w:widowControl w:val="0"/>
              <w:jc w:val="both"/>
              <w:rPr>
                <w:rFonts w:ascii="Times New Roman" w:hAnsi="Times New Roman"/>
                <w:b/>
                <w:sz w:val="28"/>
              </w:rPr>
            </w:pPr>
            <w:r w:rsidRPr="00B26BBC">
              <w:rPr>
                <w:rFonts w:ascii="Times New Roman" w:hAnsi="Times New Roman"/>
                <w:b/>
                <w:sz w:val="28"/>
                <w:szCs w:val="28"/>
              </w:rPr>
              <w:t>УДК338</w:t>
            </w:r>
          </w:p>
        </w:tc>
      </w:tr>
      <w:tr w:rsidR="00B26BBC" w:rsidRPr="00B26BBC" w:rsidTr="0098283A">
        <w:tc>
          <w:tcPr>
            <w:tcW w:w="9520" w:type="dxa"/>
            <w:gridSpan w:val="2"/>
            <w:tcMar>
              <w:left w:w="0" w:type="dxa"/>
              <w:right w:w="0" w:type="dxa"/>
            </w:tcMar>
          </w:tcPr>
          <w:p w:rsidR="00B26BBC" w:rsidRPr="00B26BBC" w:rsidRDefault="00B26BBC" w:rsidP="00B26BBC">
            <w:pPr>
              <w:widowControl w:val="0"/>
              <w:ind w:firstLine="555"/>
              <w:jc w:val="center"/>
              <w:outlineLvl w:val="0"/>
              <w:rPr>
                <w:rFonts w:ascii="Times New Roman" w:hAnsi="Times New Roman"/>
                <w:b/>
                <w:bCs/>
                <w:sz w:val="28"/>
                <w:szCs w:val="28"/>
              </w:rPr>
            </w:pPr>
            <w:bookmarkStart w:id="0" w:name="_Toc480490931"/>
            <w:bookmarkStart w:id="1" w:name="_Toc480537155"/>
            <w:r w:rsidRPr="00B26BBC">
              <w:rPr>
                <w:rFonts w:ascii="Times New Roman" w:hAnsi="Times New Roman"/>
                <w:b/>
                <w:bCs/>
                <w:sz w:val="28"/>
                <w:szCs w:val="28"/>
              </w:rPr>
              <w:t>ИНДУСТРИАЛЬНОЕ РАЗВИТИЕ РЕГИОНОВ УКРАИНЫ И РЕГИОНА С ОСОБЫМ СТАТУСОМ</w:t>
            </w:r>
            <w:bookmarkEnd w:id="0"/>
            <w:bookmarkEnd w:id="1"/>
          </w:p>
        </w:tc>
      </w:tr>
      <w:tr w:rsidR="00B26BBC" w:rsidRPr="00B26BBC" w:rsidTr="0098283A">
        <w:tc>
          <w:tcPr>
            <w:tcW w:w="5189" w:type="dxa"/>
            <w:tcMar>
              <w:left w:w="0" w:type="dxa"/>
              <w:right w:w="0" w:type="dxa"/>
            </w:tcMar>
          </w:tcPr>
          <w:p w:rsidR="00B26BBC" w:rsidRPr="00B26BBC" w:rsidRDefault="00B26BBC" w:rsidP="00B26BBC">
            <w:pPr>
              <w:widowControl w:val="0"/>
              <w:jc w:val="right"/>
              <w:rPr>
                <w:rFonts w:ascii="Times New Roman" w:hAnsi="Times New Roman"/>
                <w:sz w:val="28"/>
                <w:szCs w:val="28"/>
              </w:rPr>
            </w:pPr>
          </w:p>
        </w:tc>
        <w:tc>
          <w:tcPr>
            <w:tcW w:w="4331" w:type="dxa"/>
            <w:tcMar>
              <w:left w:w="0" w:type="dxa"/>
              <w:right w:w="0" w:type="dxa"/>
            </w:tcMar>
          </w:tcPr>
          <w:p w:rsidR="00B26BBC" w:rsidRPr="00B26BBC" w:rsidRDefault="00B26BBC" w:rsidP="00B26BBC">
            <w:pPr>
              <w:widowControl w:val="0"/>
              <w:rPr>
                <w:rFonts w:ascii="Times New Roman" w:hAnsi="Times New Roman"/>
                <w:sz w:val="28"/>
                <w:szCs w:val="28"/>
              </w:rPr>
            </w:pPr>
          </w:p>
        </w:tc>
      </w:tr>
      <w:tr w:rsidR="00B26BBC" w:rsidRPr="00B26BBC" w:rsidTr="0098283A">
        <w:tc>
          <w:tcPr>
            <w:tcW w:w="5189" w:type="dxa"/>
            <w:tcMar>
              <w:left w:w="0" w:type="dxa"/>
              <w:right w:w="0" w:type="dxa"/>
            </w:tcMar>
          </w:tcPr>
          <w:p w:rsidR="00B26BBC" w:rsidRPr="00B26BBC" w:rsidRDefault="00B26BBC" w:rsidP="00B26BBC">
            <w:pPr>
              <w:widowControl w:val="0"/>
              <w:jc w:val="center"/>
              <w:outlineLvl w:val="0"/>
              <w:rPr>
                <w:rFonts w:ascii="Times New Roman" w:hAnsi="Times New Roman"/>
                <w:b/>
                <w:bCs/>
                <w:sz w:val="28"/>
                <w:szCs w:val="28"/>
              </w:rPr>
            </w:pPr>
          </w:p>
        </w:tc>
        <w:tc>
          <w:tcPr>
            <w:tcW w:w="4331" w:type="dxa"/>
            <w:tcMar>
              <w:left w:w="0" w:type="dxa"/>
              <w:right w:w="0" w:type="dxa"/>
            </w:tcMar>
          </w:tcPr>
          <w:p w:rsidR="00B26BBC" w:rsidRPr="00B26BBC" w:rsidRDefault="00B26BBC" w:rsidP="00B26BBC">
            <w:pPr>
              <w:widowControl w:val="0"/>
              <w:rPr>
                <w:rFonts w:ascii="Times New Roman" w:hAnsi="Times New Roman"/>
                <w:sz w:val="28"/>
                <w:szCs w:val="28"/>
              </w:rPr>
            </w:pPr>
            <w:bookmarkStart w:id="2" w:name="_Toc480490932"/>
            <w:bookmarkStart w:id="3" w:name="_Toc480537156"/>
            <w:r w:rsidRPr="00B26BBC">
              <w:rPr>
                <w:rFonts w:ascii="Times New Roman" w:hAnsi="Times New Roman"/>
                <w:b/>
                <w:bCs/>
                <w:sz w:val="28"/>
                <w:szCs w:val="26"/>
              </w:rPr>
              <w:t>Л.М. Кузьменко</w:t>
            </w:r>
            <w:bookmarkEnd w:id="2"/>
            <w:bookmarkEnd w:id="3"/>
          </w:p>
          <w:p w:rsidR="00B26BBC" w:rsidRPr="00B26BBC" w:rsidRDefault="00B26BBC" w:rsidP="00B26BBC">
            <w:pPr>
              <w:widowControl w:val="0"/>
              <w:rPr>
                <w:rFonts w:ascii="Times New Roman" w:hAnsi="Times New Roman"/>
                <w:i/>
                <w:sz w:val="28"/>
                <w:szCs w:val="28"/>
              </w:rPr>
            </w:pPr>
            <w:r w:rsidRPr="00B26BBC">
              <w:rPr>
                <w:rFonts w:ascii="Times New Roman" w:hAnsi="Times New Roman"/>
                <w:i/>
                <w:sz w:val="28"/>
                <w:szCs w:val="28"/>
              </w:rPr>
              <w:t xml:space="preserve">Государственное учреждение «Институт экономических исследований», </w:t>
            </w:r>
          </w:p>
          <w:p w:rsidR="00B26BBC" w:rsidRPr="00B26BBC" w:rsidRDefault="00B26BBC" w:rsidP="00B26BBC">
            <w:pPr>
              <w:widowControl w:val="0"/>
              <w:rPr>
                <w:rFonts w:ascii="Times New Roman" w:hAnsi="Times New Roman"/>
                <w:i/>
                <w:sz w:val="28"/>
                <w:szCs w:val="28"/>
              </w:rPr>
            </w:pPr>
            <w:r w:rsidRPr="00B26BBC">
              <w:rPr>
                <w:rFonts w:ascii="Times New Roman" w:hAnsi="Times New Roman"/>
                <w:i/>
                <w:sz w:val="28"/>
                <w:szCs w:val="28"/>
              </w:rPr>
              <w:t xml:space="preserve">г. Донецк, Донецкая Народная Республика </w:t>
            </w:r>
          </w:p>
        </w:tc>
      </w:tr>
    </w:tbl>
    <w:p w:rsidR="00B26BBC" w:rsidRPr="00B26BBC" w:rsidRDefault="00B26BBC" w:rsidP="00B26BBC">
      <w:pPr>
        <w:widowControl w:val="0"/>
        <w:tabs>
          <w:tab w:val="left" w:pos="0"/>
          <w:tab w:val="left" w:pos="567"/>
          <w:tab w:val="left" w:pos="709"/>
        </w:tabs>
        <w:spacing w:after="0" w:line="240" w:lineRule="auto"/>
        <w:ind w:right="-1" w:firstLine="709"/>
        <w:jc w:val="center"/>
        <w:rPr>
          <w:rFonts w:ascii="Times New Roman" w:eastAsia="Times New Roman" w:hAnsi="Times New Roman" w:cs="Times New Roman"/>
          <w:b/>
          <w:sz w:val="28"/>
          <w:szCs w:val="28"/>
          <w:lang w:eastAsia="ar-SA"/>
        </w:rPr>
      </w:pPr>
    </w:p>
    <w:p w:rsidR="00B26BBC" w:rsidRPr="00B26BBC" w:rsidRDefault="00B26BBC" w:rsidP="00B26BBC">
      <w:pPr>
        <w:widowControl w:val="0"/>
        <w:spacing w:after="0" w:line="240" w:lineRule="auto"/>
        <w:ind w:firstLine="709"/>
        <w:jc w:val="both"/>
        <w:rPr>
          <w:rFonts w:ascii="Times New Roman" w:eastAsia="Times New Roman" w:hAnsi="Times New Roman" w:cs="Times New Roman"/>
          <w:i/>
          <w:sz w:val="28"/>
          <w:szCs w:val="28"/>
          <w:lang w:eastAsia="ru-RU"/>
        </w:rPr>
      </w:pPr>
      <w:r w:rsidRPr="00B26BBC">
        <w:rPr>
          <w:rFonts w:ascii="Times New Roman" w:eastAsia="Times New Roman" w:hAnsi="Times New Roman" w:cs="Times New Roman"/>
          <w:i/>
          <w:sz w:val="28"/>
          <w:szCs w:val="28"/>
          <w:lang w:eastAsia="ru-RU"/>
        </w:rPr>
        <w:t>Аннотация. В статье рассмотрены вопросы индустриального развития регионов на основе модернизации. Проанализировано состояние экономики Украины за последние годы и отмечены особенности в развитии региона с особым статусом.</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i/>
          <w:sz w:val="28"/>
          <w:szCs w:val="28"/>
          <w:lang w:eastAsia="ru-RU"/>
        </w:rPr>
      </w:pPr>
      <w:r w:rsidRPr="00B26BBC">
        <w:rPr>
          <w:rFonts w:ascii="Times New Roman" w:eastAsia="Times New Roman" w:hAnsi="Times New Roman" w:cs="Times New Roman"/>
          <w:i/>
          <w:sz w:val="28"/>
          <w:szCs w:val="28"/>
          <w:lang w:eastAsia="ru-RU"/>
        </w:rPr>
        <w:t>Ключевые слова: регион, модернизация, индустриальное развитие, институциональная среда.</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i/>
          <w:sz w:val="28"/>
          <w:szCs w:val="28"/>
          <w:lang w:eastAsia="ru-RU"/>
        </w:rPr>
      </w:pPr>
    </w:p>
    <w:p w:rsidR="00B26BBC" w:rsidRPr="00B26BBC" w:rsidRDefault="00B26BBC" w:rsidP="00B26BBC">
      <w:pPr>
        <w:widowControl w:val="0"/>
        <w:spacing w:after="0" w:line="240" w:lineRule="auto"/>
        <w:ind w:firstLine="709"/>
        <w:jc w:val="both"/>
        <w:rPr>
          <w:rFonts w:ascii="Times New Roman" w:eastAsia="Times New Roman" w:hAnsi="Times New Roman" w:cs="Times New Roman"/>
          <w:i/>
          <w:sz w:val="28"/>
          <w:szCs w:val="28"/>
          <w:lang w:val="en-US" w:eastAsia="ru-RU"/>
        </w:rPr>
      </w:pPr>
      <w:r w:rsidRPr="00B26BBC">
        <w:rPr>
          <w:rFonts w:ascii="Times New Roman" w:eastAsia="Times New Roman" w:hAnsi="Times New Roman" w:cs="Times New Roman"/>
          <w:i/>
          <w:sz w:val="28"/>
          <w:szCs w:val="28"/>
          <w:lang w:val="en-US" w:eastAsia="ru-RU"/>
        </w:rPr>
        <w:t>Summary. In the article the questions of industrial development of regions on the basis of modernization are considered. The state of the Ukrainian economy in recent years has been analyzed and features in the development of a region with a special status have been noted.</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i/>
          <w:sz w:val="28"/>
          <w:szCs w:val="28"/>
          <w:lang w:val="en-US" w:eastAsia="ru-RU"/>
        </w:rPr>
      </w:pPr>
      <w:r w:rsidRPr="00B26BBC">
        <w:rPr>
          <w:rFonts w:ascii="Times New Roman" w:eastAsia="Times New Roman" w:hAnsi="Times New Roman" w:cs="Times New Roman"/>
          <w:i/>
          <w:sz w:val="28"/>
          <w:szCs w:val="28"/>
          <w:lang w:val="en-US" w:eastAsia="ru-RU"/>
        </w:rPr>
        <w:t>Keywords: region, modernization, industrial development, institutional environment</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i/>
          <w:sz w:val="28"/>
          <w:szCs w:val="28"/>
          <w:lang w:val="en-US" w:eastAsia="ru-RU"/>
        </w:rPr>
      </w:pP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b/>
          <w:sz w:val="28"/>
          <w:szCs w:val="28"/>
          <w:lang w:eastAsia="ru-RU"/>
        </w:rPr>
        <w:t>Постановка проблемы.</w:t>
      </w:r>
      <w:r w:rsidRPr="00B26BBC">
        <w:rPr>
          <w:rFonts w:ascii="Times New Roman" w:eastAsia="Times New Roman" w:hAnsi="Times New Roman" w:cs="Times New Roman"/>
          <w:sz w:val="28"/>
          <w:szCs w:val="28"/>
          <w:lang w:eastAsia="ru-RU"/>
        </w:rPr>
        <w:t xml:space="preserve"> Политика развитых стран направлена на увеличение промышленного производства, а устойчивая индустриализация позитивно влияет на необходимые структурные изменения в экономике. В таких условиях особую роль играет модернизация как фактор современного индустриального развития, учитывая современные вызовы и угрозы.</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b/>
          <w:sz w:val="28"/>
          <w:szCs w:val="28"/>
          <w:lang w:eastAsia="ru-RU"/>
        </w:rPr>
        <w:t>Анализ предшествующих исследований и публикаций.</w:t>
      </w:r>
      <w:r w:rsidRPr="00B26BBC">
        <w:rPr>
          <w:rFonts w:ascii="Times New Roman" w:eastAsia="Times New Roman" w:hAnsi="Times New Roman" w:cs="Times New Roman"/>
          <w:sz w:val="28"/>
          <w:szCs w:val="28"/>
          <w:lang w:eastAsia="ru-RU"/>
        </w:rPr>
        <w:t xml:space="preserve"> Анализ рассматриваемых вопросов позволил сделать вывод о том, что динамичное промышленное развитие опирается на устойчивую индустриализацию как фактор экономического развития; всеобъемлющее промышленное развитие, обеспечивающее социальную потребность, равные возможности и справедливое распределение благ, и экологическую устойчивость. Структурные изменения в мировой индустрии определяют изменения во всех сферах экономики и ориентируются на производство продукции высокотехнологичных отраслей. В таких условиях необходим поиск консолидирующего начала для объединения отдельных секторов в потоки интегрированного внутреннего развития для всех отраслей и регионов.</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b/>
          <w:sz w:val="28"/>
          <w:szCs w:val="28"/>
          <w:lang w:eastAsia="ru-RU"/>
        </w:rPr>
        <w:t>Целью</w:t>
      </w:r>
      <w:r w:rsidRPr="00B26BBC">
        <w:rPr>
          <w:rFonts w:ascii="Times New Roman" w:eastAsia="Times New Roman" w:hAnsi="Times New Roman" w:cs="Times New Roman"/>
          <w:sz w:val="28"/>
          <w:szCs w:val="28"/>
          <w:lang w:eastAsia="ru-RU"/>
        </w:rPr>
        <w:t xml:space="preserve"> исследования является отражение характерных для промышленных регионов проблем индустриального развития на основе модернизации и обоснование перспектив роста с учетом современных вызовов и возможностей.</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b/>
          <w:sz w:val="28"/>
          <w:szCs w:val="28"/>
          <w:lang w:eastAsia="ru-RU"/>
        </w:rPr>
        <w:lastRenderedPageBreak/>
        <w:t xml:space="preserve">Основные результаты исследования. </w:t>
      </w:r>
      <w:r w:rsidRPr="00B26BBC">
        <w:rPr>
          <w:rFonts w:ascii="Times New Roman" w:eastAsia="Times New Roman" w:hAnsi="Times New Roman" w:cs="Times New Roman"/>
          <w:sz w:val="28"/>
          <w:szCs w:val="28"/>
          <w:lang w:eastAsia="ru-RU"/>
        </w:rPr>
        <w:t>Концепция устойчивого промышленного развития состоит из трех элементов: устойчивая индустриализация как фактор экономического развития; всеобъемлющее промышленное развитие, которое обеспечивает социальную потребность, равные возможности и справедливое распределение благ; экологическая устойчивость, устраняющая возможную взаимосвязь между благополучием, обеспеченным промышленным развитием и чрезмерным потреблением ресурсов, и негативным влиянием на окружающую среду [1]. Политика развитых стран направлена на увеличение промышленного производства, а технологические изменения признаются одним из факторов долгосрочного роста. Считается, что устойчивая индустриализация, позитивно влияя на необходимые структурные изменения в экономике, предполагает уделять особое внимание перерабатывающей промышленности, которая способна обеспечить занятость в сферах с высокой производительностью труда, стимулировать развитие технологий и инноваций, что в дальнейшем будет способствовать развитию других отраслей.</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Экономика стран мира характеризуется снижением доли перерабатывающей промышленности в общем объеме ВВП [2]. В этой связи Еврокомиссия поставила задачу увеличения промышленного сектора в европейской экономике до 20% к 2020 году. Это будет способствовать увеличению инвестиций в человеческий капитал, развитию внутреннего инвестирования, росту объемов экспорта продукции малых и средних предприятий в третьи страны. Укрепление производственной базы является целью не только Европы. В США, например, производственный сектор за последние годы также стал менее важным, в связи с чем с 1996 по 2014 годы его доля в ВВП снизилась с 24,0% до 20,5%, что явилось результатом перемещения производства ближе к рынкам, которые развиваются.</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В Украине в 1996 году доля перерабатывающей промышленности в ВВП  была одной из наибольших среди европейских стран, однако за 18 лет она снизилась практически в два раза [3]. Непростая экономическая ситуация в современной Украине не позволяет пока смотреть в будущее с оптимизмом.</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 xml:space="preserve">Пока еще непризнанную Донецкую народную республику можно отнести к региону с особым статусом. В регионе, несмотря на продолжающиеся боевые действия, возрождаются предприятия, которые в будущем станут тем каркасом, на котором будет строиться фундамент молодой республики. Продукция машиностроительных предприятий конкурентоспособна и востребована в России. Кроме того, запуск Юзовского металлургического завода во втором квартале 2017 года позволит заработать еще 70-ти предприятиям, которые будут потреблять этот металл. Возрождение завода «Силур» с использованием новых технологий и современных методов производства продукции обеспечит смежные предприятия проволокой, канатами, металлокордом – самым сложным и дорогостоящим видом продукции завода. Реализация такой продукции возможна не только на территории ДНР и ЛНР, но и в России, а также в странах Таможенного союза. Отмечая страны, связанные с переработкой сырья, т.е. те, доля продукции </w:t>
      </w:r>
      <w:r w:rsidRPr="00B26BBC">
        <w:rPr>
          <w:rFonts w:ascii="Times New Roman" w:eastAsia="Times New Roman" w:hAnsi="Times New Roman" w:cs="Times New Roman"/>
          <w:sz w:val="28"/>
          <w:szCs w:val="28"/>
          <w:lang w:eastAsia="ru-RU"/>
        </w:rPr>
        <w:lastRenderedPageBreak/>
        <w:t>которых должна возрастать в промышленности, следует указать, что в 2016 году таких предприятий, специализирующихся на металлообработке, было три; в машиностроении заработало шесть; химической отрасли – пять [4]. Следует отметить, что в регионах с особым статусом не обязательно будут наблюдаться те явления, что и в развитых странах. В них возможно наблюдать повышение доли перерабатывающей промышленности в формировании добавочной стоимости, повышение роли производительности труда и связей с другими отраслями.</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Рост роли наукоемких и конкурентоспособных производств и увеличение их доли в структуре перерабатывающей промышленности стал тенденцией, которая наблюдается в экономике развитых стран мира. Структурные изменения в мировой индустрии определяют изменения и в перерабатывающей отрасли. Такие процессы характерны как для наиболее развитых стран, так и для развивающихся. За последние 20 лет наибольшие изменения характерны для стран Азии, экономические успехи которой сопровождаются не только ростом доли перерабатывающей промышленности, но и ее технологической модернизацией.</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Сокращение производства наиболее заметно с точки зрения занятости. В Украине численность в сфере производства сократилась с 2917 тыс. чел. в 2000 году до 1511 тыс. чел. в 2014 году. Доля работающих  в перерабатывающей отрасли в общей численности занятых также постоянно сокращается [5].</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 xml:space="preserve">Сфера производства обеспечивает производительную рабочую силу, однако ее развитие в направлении технологической емкости делает ее менее трудоемкой. В развитых странах главным фактором роста в перерабатывающей промышленности становится производительность труда, которая приводит к увеличению объемов промышленной продукции при отсутствии значительного роста объемов факторов производства – капитала, производственных ресурсов, материалов. Появление высококвалифицированной рабочей силы становится стимулом для внедрения технологических инноваций и далее для прогресса в образовательной отрасли. Одновременно высокотехнологичные отрасли способны создать большое количество рабочих мест в сфере услуг, связанной с другими отраслями промышленности. </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Необходимо отметить, что возможность создавать рабочие места зависит от типа инноваций, т.е. инновации в продукцию, которая производится, создают рабочие места, а инновации в технологические процессы сокращают количество рабочих мест. Но внедрение новых технологий расширяет современную промышленную отрасль и услуги, которые с ней связаны, способствуя поглощению рабочей силы другими отраслями экономики. Такие процессы стимулируют развитие экономики страны в целом и повышение производительности труда, средней заработной платы и среднего дохода семьи.</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 xml:space="preserve">Более 50% занятых в высоко- и среднетехнологических секторах промышленности Украины было сосредоточено в шести областях: </w:t>
      </w:r>
      <w:r w:rsidRPr="00B26BBC">
        <w:rPr>
          <w:rFonts w:ascii="Times New Roman" w:eastAsia="Times New Roman" w:hAnsi="Times New Roman" w:cs="Times New Roman"/>
          <w:sz w:val="28"/>
          <w:szCs w:val="28"/>
          <w:lang w:eastAsia="ru-RU"/>
        </w:rPr>
        <w:lastRenderedPageBreak/>
        <w:t>Харьковской (12,7%), Запорожской (10,2%), Днепропетровской (8,3%), Донецкой (7,9%), Сумской (6,8%), Полтавской (5,9%). Однако военные действия на востоке Украины изменяют и специализацию, и структуру занятых в этой сфере.  В ДНР и ЛНР в настоящее время целесообразно говорить о восстановлении отраслей промышленности, а в дальнейшем – о развитии.</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Особенностями экономики Украины был акцент проводимой политики на импорт техники и технологий, и одновременно наблюдалось недостаточное финансирование технологической модернизации и инновационных разработок. Инновационная активность предприятий низкая, удельный вес предприятий, которые внедряют инновации, в течение последних пяти лет снижается. Наибольший удельный вес в структуре инновационных затрат относится к приобретению машин, оборудования и программного обеспечения. Эта статья затрат составляет 66,5% против 22,8% затрат на исследование и разработку.</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В Докладе Организации экономического сотрудничества и развития [6] отмечается, что государственная поддержка НИОКР во многих странах растет. Основными инструментами реализации такой политики становятся: создание условий для улучшения инвестиционного климата; установление благоприятного налогового режима; предоставление предприятиям льгот по кредитным ставкам и упрощение системы кредитования в целом; увеличение инвестирования в НИОКР. Такие элементы институциализма, несмотря на жесткость положения, должны учитываться и в восстанавливающейся и развивающейся экономике ДНР и ЛНР.</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Производительность труда должна стать показателем, который во многом обеспечит результаты перерабатывающей промышленности. Среди важных направлений в повышении производительности труда следует отметить реструктуризацию занятых в направлении увеличения доли инновационного труда, что станет противовесом занятости в малопродуктивных формах экономической деятельности.</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В условиях модернизации, которая должна характеризовать современное индустриальное развитие, важная роль отводится образованию. По данным Глобального инновационного индекса «Уровень развития образования» Украина в 2016 году находилась на 20м месте, что значительно ниже, чем в предыдущие годы. В крупных промышленных регионах было сосредоточено 35% высших учебных заведений Украины, индекс охвата студентами был также высоким в регионах, которые не являлись промышленно развитыми. В настоящее время ситуация изменилась, в Донецкой и Луганской областях индекс охвата студентами в 2014/2015 годах был самым низким в Украине. Одновременно следует отметить, что в Донецке работают практически все вузы, обеспечивая специалистами Республику (в вузах обучаются и студенты с территории Украины). Специалистов высшей квалификации готовят в аспирантуре и докторантуре вузов и научно-исследовательских институтов.</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b/>
          <w:sz w:val="28"/>
          <w:szCs w:val="28"/>
          <w:lang w:eastAsia="ru-RU"/>
        </w:rPr>
        <w:t xml:space="preserve">Выводы. </w:t>
      </w:r>
      <w:r w:rsidRPr="00B26BBC">
        <w:rPr>
          <w:rFonts w:ascii="Times New Roman" w:eastAsia="Times New Roman" w:hAnsi="Times New Roman" w:cs="Times New Roman"/>
          <w:sz w:val="28"/>
          <w:szCs w:val="28"/>
          <w:lang w:eastAsia="ru-RU"/>
        </w:rPr>
        <w:t xml:space="preserve">Ключевыми аспектами индустриального развития на основе </w:t>
      </w:r>
      <w:r w:rsidRPr="00B26BBC">
        <w:rPr>
          <w:rFonts w:ascii="Times New Roman" w:eastAsia="Times New Roman" w:hAnsi="Times New Roman" w:cs="Times New Roman"/>
          <w:sz w:val="28"/>
          <w:szCs w:val="28"/>
          <w:lang w:eastAsia="ru-RU"/>
        </w:rPr>
        <w:lastRenderedPageBreak/>
        <w:t>модернизации должны стать:</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1. Развитие сферы НИОКР. Перспективы промышленного развития на основе модернизации отличаются масштабами, качеством и уровнем научных исследований. Это станет возможным, во-первых, благодаря повышению эффективности и увеличению бюджетного финансирования секторов науки, во-вторых, благодаря возрождению сотрудничества науки и производства, отраслевого и заводского секторов науки. Кроме того, необходимо дополнительное стимулирование НИОКР.</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2. Структурные изменения в промышленности. Речь идет о развитии с ориентацией на производство продукции высокотехнологическими отраслями. Это станет возможным, если экономика будет иметь набор характеристик системы: развитые внутренние связи, емкий внутренний рынок, современная диверсифицированная производственная база, развитая подсистема кооперационных связей, современная инфраструктура, накопленный опыт проведения эффективной экономической политики [7].</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Следует осуществлять такие действия в экономике, которые обеспечат консолидацию разрозненных побуждений отдельных секторов в потоке интегрированного внутреннего развития всех отраслей и регионов. Ими могут стать малый и средний бизнес, транспортная и логистическая инфраструктура, кластерные инфраструктуры, аграрный сектор.</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3. Институциональные преобразования. При всей важности технологий в повышении производительности труда, они связаны и с эволюцией организационных форм, соответствующих сопутствующих институтов и механизмов регулирования [8]. В регионах «ресурсного типа», в которых базовыми являются добывающие отрасли и отрасли перерабатывающей промышленности первичного передела, институциональная среда оказывает противоречивое влияние на стимулы и ограничения выбора предпринимателей, хотя в некоторых случаях такие отрасли демонстрируют модернизацию производства. Например, обновление агломерационного и доменного производств на предприятиях Донбасса, модернизация энергоблоков на предприятиях, благодаря чему снизился объем выбросов в атмосферу загрязняющих веществ.</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Проблемы институциональных инноваций связаны и с деятельностью  групп специальных интересов. Выявление форм и механизмов взаимодействия таких групп является важным моментом в понимании сущности социально-экономических процессов в государстве, решения о направлениях развития отдельных секторов экономики.</w:t>
      </w:r>
    </w:p>
    <w:p w:rsidR="00B26BBC" w:rsidRPr="00B26BBC" w:rsidRDefault="00B26BBC" w:rsidP="00B26BBC">
      <w:pPr>
        <w:widowControl w:val="0"/>
        <w:spacing w:after="0" w:line="240" w:lineRule="auto"/>
        <w:ind w:firstLine="709"/>
        <w:jc w:val="both"/>
        <w:rPr>
          <w:rFonts w:ascii="Times New Roman" w:eastAsia="Times New Roman" w:hAnsi="Times New Roman" w:cs="Times New Roman"/>
          <w:sz w:val="28"/>
          <w:szCs w:val="28"/>
          <w:lang w:eastAsia="ru-RU"/>
        </w:rPr>
      </w:pPr>
      <w:r w:rsidRPr="00B26BBC">
        <w:rPr>
          <w:rFonts w:ascii="Times New Roman" w:eastAsia="Times New Roman" w:hAnsi="Times New Roman" w:cs="Times New Roman"/>
          <w:sz w:val="28"/>
          <w:szCs w:val="28"/>
          <w:lang w:eastAsia="ru-RU"/>
        </w:rPr>
        <w:t>Индустриализация на основе модернизации требует четкого определения ресурсов, полномочий и ответственности относительно осуществления промышленной политики. При этом местное самоуправление должно способствовать решению проблем промышленного развития территории.</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4469"/>
        <w:gridCol w:w="4364"/>
      </w:tblGrid>
      <w:tr w:rsidR="00B26BBC" w:rsidRPr="00B26BBC" w:rsidTr="0098283A">
        <w:tc>
          <w:tcPr>
            <w:tcW w:w="4819" w:type="dxa"/>
            <w:gridSpan w:val="2"/>
          </w:tcPr>
          <w:p w:rsidR="00B26BBC" w:rsidRPr="00B26BBC" w:rsidRDefault="00B26BBC" w:rsidP="00B26BBC">
            <w:pPr>
              <w:widowControl w:val="0"/>
              <w:jc w:val="both"/>
              <w:rPr>
                <w:rFonts w:ascii="Times New Roman" w:hAnsi="Times New Roman"/>
                <w:sz w:val="28"/>
                <w:szCs w:val="28"/>
              </w:rPr>
            </w:pPr>
          </w:p>
        </w:tc>
        <w:tc>
          <w:tcPr>
            <w:tcW w:w="4820" w:type="dxa"/>
          </w:tcPr>
          <w:p w:rsidR="00B26BBC" w:rsidRPr="00B26BBC" w:rsidRDefault="00B26BBC" w:rsidP="00B26BBC">
            <w:pPr>
              <w:widowControl w:val="0"/>
              <w:jc w:val="both"/>
              <w:rPr>
                <w:rFonts w:ascii="Times New Roman" w:hAnsi="Times New Roman"/>
                <w:sz w:val="28"/>
                <w:szCs w:val="28"/>
              </w:rPr>
            </w:pPr>
          </w:p>
        </w:tc>
      </w:tr>
      <w:tr w:rsidR="00B26BBC" w:rsidRPr="00B26BBC" w:rsidTr="0098283A">
        <w:tc>
          <w:tcPr>
            <w:tcW w:w="9639" w:type="dxa"/>
            <w:gridSpan w:val="3"/>
          </w:tcPr>
          <w:p w:rsidR="00B26BBC" w:rsidRPr="00B26BBC" w:rsidRDefault="00B26BBC" w:rsidP="00B26BBC">
            <w:pPr>
              <w:widowControl w:val="0"/>
              <w:jc w:val="center"/>
              <w:rPr>
                <w:rFonts w:ascii="Times New Roman" w:hAnsi="Times New Roman"/>
                <w:sz w:val="28"/>
                <w:szCs w:val="28"/>
              </w:rPr>
            </w:pPr>
            <w:r w:rsidRPr="00B26BBC">
              <w:rPr>
                <w:rFonts w:ascii="Times New Roman" w:hAnsi="Times New Roman"/>
                <w:b/>
                <w:sz w:val="28"/>
                <w:szCs w:val="28"/>
              </w:rPr>
              <w:t>Список литературы</w:t>
            </w:r>
          </w:p>
        </w:tc>
      </w:tr>
      <w:tr w:rsidR="00B26BBC" w:rsidRPr="00B26BBC" w:rsidTr="0098283A">
        <w:tc>
          <w:tcPr>
            <w:tcW w:w="709" w:type="dxa"/>
          </w:tcPr>
          <w:p w:rsidR="00B26BBC" w:rsidRPr="00B26BBC" w:rsidRDefault="00B26BBC" w:rsidP="00B26BBC">
            <w:pPr>
              <w:widowControl w:val="0"/>
              <w:numPr>
                <w:ilvl w:val="0"/>
                <w:numId w:val="1"/>
              </w:numPr>
              <w:contextualSpacing/>
              <w:jc w:val="right"/>
              <w:rPr>
                <w:rFonts w:ascii="Times New Roman" w:hAnsi="Times New Roman"/>
                <w:sz w:val="24"/>
                <w:szCs w:val="24"/>
              </w:rPr>
            </w:pPr>
          </w:p>
        </w:tc>
        <w:tc>
          <w:tcPr>
            <w:tcW w:w="8930" w:type="dxa"/>
            <w:gridSpan w:val="2"/>
          </w:tcPr>
          <w:p w:rsidR="00B26BBC" w:rsidRPr="00B26BBC" w:rsidRDefault="00B26BBC" w:rsidP="00B26BBC">
            <w:pPr>
              <w:widowControl w:val="0"/>
              <w:jc w:val="both"/>
              <w:rPr>
                <w:rFonts w:ascii="Times New Roman" w:hAnsi="Times New Roman"/>
                <w:sz w:val="24"/>
                <w:szCs w:val="24"/>
                <w:lang w:val="en-US"/>
              </w:rPr>
            </w:pPr>
            <w:r w:rsidRPr="00B26BBC">
              <w:rPr>
                <w:rFonts w:ascii="Times New Roman" w:hAnsi="Times New Roman"/>
                <w:sz w:val="24"/>
                <w:szCs w:val="24"/>
                <w:lang w:val="en-US"/>
              </w:rPr>
              <w:t xml:space="preserve">Industrial Development Report 2016: The role of Technology and Innovation in Inclusive </w:t>
            </w:r>
            <w:r w:rsidRPr="00B26BBC">
              <w:rPr>
                <w:rFonts w:ascii="Times New Roman" w:hAnsi="Times New Roman"/>
                <w:sz w:val="24"/>
                <w:szCs w:val="24"/>
                <w:lang w:val="en-US"/>
              </w:rPr>
              <w:lastRenderedPageBreak/>
              <w:t>and Sustainable Industrial Development//</w:t>
            </w:r>
            <w:hyperlink r:id="rId5" w:tgtFrame="_blank" w:history="1">
              <w:r w:rsidRPr="00B26BBC">
                <w:rPr>
                  <w:rFonts w:ascii="Times New Roman" w:hAnsi="Times New Roman"/>
                  <w:color w:val="0000FF"/>
                  <w:sz w:val="24"/>
                  <w:szCs w:val="24"/>
                  <w:u w:val="single"/>
                  <w:lang w:val="en-US"/>
                </w:rPr>
                <w:t>unido.org</w:t>
              </w:r>
            </w:hyperlink>
            <w:r w:rsidRPr="00B26BBC">
              <w:rPr>
                <w:rFonts w:ascii="Times New Roman" w:hAnsi="Times New Roman"/>
                <w:sz w:val="24"/>
                <w:szCs w:val="24"/>
                <w:lang w:val="en-US"/>
              </w:rPr>
              <w:t>›</w:t>
            </w:r>
            <w:hyperlink r:id="rId6" w:tgtFrame="_blank" w:history="1">
              <w:r w:rsidRPr="00B26BBC">
                <w:rPr>
                  <w:rFonts w:ascii="Times New Roman" w:hAnsi="Times New Roman"/>
                  <w:color w:val="0000FF"/>
                  <w:sz w:val="24"/>
                  <w:szCs w:val="24"/>
                  <w:u w:val="single"/>
                  <w:lang w:val="en-US"/>
                </w:rPr>
                <w:t>fileadmin/user…IDR2016FULLREPORT.pdf</w:t>
              </w:r>
            </w:hyperlink>
          </w:p>
        </w:tc>
      </w:tr>
      <w:tr w:rsidR="00B26BBC" w:rsidRPr="00B26BBC" w:rsidTr="0098283A">
        <w:tc>
          <w:tcPr>
            <w:tcW w:w="709" w:type="dxa"/>
          </w:tcPr>
          <w:p w:rsidR="00B26BBC" w:rsidRPr="00B26BBC" w:rsidRDefault="00B26BBC" w:rsidP="00B26BBC">
            <w:pPr>
              <w:widowControl w:val="0"/>
              <w:numPr>
                <w:ilvl w:val="0"/>
                <w:numId w:val="1"/>
              </w:numPr>
              <w:contextualSpacing/>
              <w:jc w:val="right"/>
              <w:rPr>
                <w:rFonts w:ascii="Times New Roman" w:hAnsi="Times New Roman"/>
                <w:sz w:val="24"/>
                <w:szCs w:val="24"/>
                <w:lang w:val="en-US"/>
              </w:rPr>
            </w:pPr>
          </w:p>
        </w:tc>
        <w:tc>
          <w:tcPr>
            <w:tcW w:w="8930" w:type="dxa"/>
            <w:gridSpan w:val="2"/>
          </w:tcPr>
          <w:p w:rsidR="00B26BBC" w:rsidRPr="00B26BBC" w:rsidRDefault="00B26BBC" w:rsidP="00B26BBC">
            <w:pPr>
              <w:widowControl w:val="0"/>
              <w:jc w:val="both"/>
              <w:rPr>
                <w:rFonts w:ascii="Times New Roman" w:hAnsi="Times New Roman"/>
                <w:sz w:val="24"/>
                <w:szCs w:val="24"/>
                <w:lang w:val="en-US"/>
              </w:rPr>
            </w:pPr>
            <w:r w:rsidRPr="00B26BBC">
              <w:rPr>
                <w:rFonts w:ascii="Times New Roman" w:hAnsi="Times New Roman"/>
                <w:sz w:val="24"/>
                <w:szCs w:val="24"/>
                <w:lang w:val="en-US"/>
              </w:rPr>
              <w:t>Heymann E. Europe's re-industrialisation The gulf between aspiration and reality / E. Heymann, S. Vetter // Deutsche Bank AG DB Research. – 2013.</w:t>
            </w:r>
          </w:p>
        </w:tc>
      </w:tr>
      <w:tr w:rsidR="00B26BBC" w:rsidRPr="00B26BBC" w:rsidTr="0098283A">
        <w:tc>
          <w:tcPr>
            <w:tcW w:w="709" w:type="dxa"/>
          </w:tcPr>
          <w:p w:rsidR="00B26BBC" w:rsidRPr="00B26BBC" w:rsidRDefault="00B26BBC" w:rsidP="00B26BBC">
            <w:pPr>
              <w:widowControl w:val="0"/>
              <w:numPr>
                <w:ilvl w:val="0"/>
                <w:numId w:val="1"/>
              </w:numPr>
              <w:contextualSpacing/>
              <w:jc w:val="right"/>
              <w:rPr>
                <w:rFonts w:ascii="Times New Roman" w:hAnsi="Times New Roman"/>
                <w:sz w:val="24"/>
                <w:szCs w:val="24"/>
                <w:lang w:val="en-US"/>
              </w:rPr>
            </w:pPr>
          </w:p>
        </w:tc>
        <w:tc>
          <w:tcPr>
            <w:tcW w:w="8930" w:type="dxa"/>
            <w:gridSpan w:val="2"/>
          </w:tcPr>
          <w:p w:rsidR="00B26BBC" w:rsidRPr="00B26BBC" w:rsidRDefault="00B26BBC" w:rsidP="00B26BBC">
            <w:pPr>
              <w:widowControl w:val="0"/>
              <w:jc w:val="both"/>
              <w:rPr>
                <w:rFonts w:ascii="Times New Roman" w:hAnsi="Times New Roman"/>
                <w:sz w:val="24"/>
                <w:szCs w:val="24"/>
                <w:lang w:val="en-US"/>
              </w:rPr>
            </w:pPr>
            <w:r w:rsidRPr="00B26BBC">
              <w:rPr>
                <w:rFonts w:ascii="Times New Roman" w:hAnsi="Times New Roman"/>
                <w:sz w:val="24"/>
                <w:szCs w:val="24"/>
                <w:lang w:val="en-US"/>
              </w:rPr>
              <w:t>Manufacturing, value added (% of GDP) [</w:t>
            </w:r>
            <w:r w:rsidRPr="00B26BBC">
              <w:rPr>
                <w:rFonts w:ascii="Times New Roman" w:hAnsi="Times New Roman"/>
                <w:sz w:val="24"/>
                <w:szCs w:val="24"/>
              </w:rPr>
              <w:t>Электронныйресурс</w:t>
            </w:r>
            <w:r w:rsidRPr="00B26BBC">
              <w:rPr>
                <w:rFonts w:ascii="Times New Roman" w:hAnsi="Times New Roman"/>
                <w:sz w:val="24"/>
                <w:szCs w:val="24"/>
                <w:lang w:val="en-US"/>
              </w:rPr>
              <w:t xml:space="preserve">] // Databank.worldbank.org. – 2016. – </w:t>
            </w:r>
            <w:r w:rsidRPr="00B26BBC">
              <w:rPr>
                <w:rFonts w:ascii="Times New Roman" w:hAnsi="Times New Roman"/>
                <w:sz w:val="24"/>
                <w:szCs w:val="24"/>
              </w:rPr>
              <w:t>Режимдоступа</w:t>
            </w:r>
            <w:r w:rsidRPr="00B26BBC">
              <w:rPr>
                <w:rFonts w:ascii="Times New Roman" w:hAnsi="Times New Roman"/>
                <w:sz w:val="24"/>
                <w:szCs w:val="24"/>
                <w:lang w:val="en-US"/>
              </w:rPr>
              <w:t xml:space="preserve">: </w:t>
            </w:r>
            <w:hyperlink r:id="rId7" w:history="1">
              <w:r w:rsidRPr="00B26BBC">
                <w:rPr>
                  <w:rFonts w:ascii="Times New Roman" w:hAnsi="Times New Roman"/>
                  <w:color w:val="0000FF"/>
                  <w:sz w:val="24"/>
                  <w:szCs w:val="24"/>
                  <w:u w:val="single"/>
                  <w:lang w:val="en-US"/>
                </w:rPr>
                <w:t>http://data.worldbank.org/ indicator/NV.IND.MANF.ZS</w:t>
              </w:r>
            </w:hyperlink>
            <w:r w:rsidRPr="00B26BBC">
              <w:rPr>
                <w:rFonts w:ascii="Times New Roman" w:hAnsi="Times New Roman"/>
                <w:sz w:val="24"/>
                <w:szCs w:val="24"/>
                <w:lang w:val="en-US"/>
              </w:rPr>
              <w:t>.</w:t>
            </w:r>
          </w:p>
        </w:tc>
      </w:tr>
      <w:tr w:rsidR="00B26BBC" w:rsidRPr="00B26BBC" w:rsidTr="0098283A">
        <w:tc>
          <w:tcPr>
            <w:tcW w:w="709" w:type="dxa"/>
          </w:tcPr>
          <w:p w:rsidR="00B26BBC" w:rsidRPr="00B26BBC" w:rsidRDefault="00B26BBC" w:rsidP="00B26BBC">
            <w:pPr>
              <w:widowControl w:val="0"/>
              <w:numPr>
                <w:ilvl w:val="0"/>
                <w:numId w:val="1"/>
              </w:numPr>
              <w:contextualSpacing/>
              <w:jc w:val="right"/>
              <w:rPr>
                <w:rFonts w:ascii="Times New Roman" w:hAnsi="Times New Roman"/>
                <w:sz w:val="24"/>
                <w:szCs w:val="24"/>
                <w:lang w:val="en-US"/>
              </w:rPr>
            </w:pPr>
          </w:p>
        </w:tc>
        <w:tc>
          <w:tcPr>
            <w:tcW w:w="8930" w:type="dxa"/>
            <w:gridSpan w:val="2"/>
          </w:tcPr>
          <w:p w:rsidR="00B26BBC" w:rsidRPr="00B26BBC" w:rsidRDefault="00B26BBC" w:rsidP="00B26BBC">
            <w:pPr>
              <w:widowControl w:val="0"/>
              <w:jc w:val="both"/>
              <w:rPr>
                <w:rFonts w:ascii="Times New Roman" w:hAnsi="Times New Roman"/>
                <w:sz w:val="24"/>
                <w:szCs w:val="24"/>
              </w:rPr>
            </w:pPr>
            <w:r w:rsidRPr="00B26BBC">
              <w:rPr>
                <w:rFonts w:ascii="Times New Roman" w:hAnsi="Times New Roman"/>
                <w:sz w:val="24"/>
                <w:szCs w:val="24"/>
              </w:rPr>
              <w:t>Еженедельник «Новороссия» № 121, 5 января 2017г. С.1.</w:t>
            </w:r>
          </w:p>
        </w:tc>
      </w:tr>
      <w:tr w:rsidR="00B26BBC" w:rsidRPr="00B26BBC" w:rsidTr="0098283A">
        <w:tc>
          <w:tcPr>
            <w:tcW w:w="709" w:type="dxa"/>
          </w:tcPr>
          <w:p w:rsidR="00B26BBC" w:rsidRPr="00B26BBC" w:rsidRDefault="00B26BBC" w:rsidP="00B26BBC">
            <w:pPr>
              <w:widowControl w:val="0"/>
              <w:numPr>
                <w:ilvl w:val="0"/>
                <w:numId w:val="1"/>
              </w:numPr>
              <w:contextualSpacing/>
              <w:jc w:val="right"/>
              <w:rPr>
                <w:rFonts w:ascii="Times New Roman" w:hAnsi="Times New Roman"/>
                <w:sz w:val="24"/>
                <w:szCs w:val="24"/>
              </w:rPr>
            </w:pPr>
          </w:p>
        </w:tc>
        <w:tc>
          <w:tcPr>
            <w:tcW w:w="8930" w:type="dxa"/>
            <w:gridSpan w:val="2"/>
          </w:tcPr>
          <w:p w:rsidR="00B26BBC" w:rsidRPr="00B26BBC" w:rsidRDefault="00B26BBC" w:rsidP="00B26BBC">
            <w:pPr>
              <w:widowControl w:val="0"/>
              <w:jc w:val="both"/>
              <w:rPr>
                <w:rFonts w:ascii="Times New Roman" w:hAnsi="Times New Roman"/>
                <w:sz w:val="24"/>
                <w:szCs w:val="24"/>
              </w:rPr>
            </w:pPr>
            <w:r w:rsidRPr="00B26BBC">
              <w:rPr>
                <w:rFonts w:ascii="Times New Roman" w:hAnsi="Times New Roman"/>
                <w:sz w:val="24"/>
                <w:szCs w:val="24"/>
              </w:rPr>
              <w:t xml:space="preserve">Рассчитано авторами по данным: </w:t>
            </w:r>
            <w:r w:rsidRPr="00B26BBC">
              <w:rPr>
                <w:rFonts w:ascii="Times New Roman" w:hAnsi="Times New Roman"/>
                <w:sz w:val="24"/>
                <w:szCs w:val="24"/>
                <w:lang w:val="uk-UA"/>
              </w:rPr>
              <w:t xml:space="preserve">Статистичний збірник «Праця України у 2014 році» / ТОВ Видавництво «Консультант». – Київ. – 281 с. [Електронний ресурс] // Режим доступу: </w:t>
            </w:r>
            <w:hyperlink r:id="rId8" w:history="1">
              <w:r w:rsidRPr="00B26BBC">
                <w:rPr>
                  <w:rFonts w:ascii="Times New Roman" w:hAnsi="Times New Roman"/>
                  <w:sz w:val="24"/>
                  <w:szCs w:val="24"/>
                  <w:lang w:val="uk-UA"/>
                </w:rPr>
                <w:t>http://www.ukrstat.gov.ua/</w:t>
              </w:r>
            </w:hyperlink>
            <w:r w:rsidRPr="00B26BBC">
              <w:rPr>
                <w:rFonts w:ascii="Times New Roman" w:hAnsi="Times New Roman"/>
                <w:sz w:val="24"/>
                <w:szCs w:val="24"/>
                <w:lang w:val="uk-UA"/>
              </w:rPr>
              <w:t>, с. 131; Статистичний збірник «Праця України у 2009 році» /Київ. – 341 с. [Електронний ресурс] // Режим доступу: http://www.ukrstat.gov.ua/, с. 187.</w:t>
            </w:r>
          </w:p>
        </w:tc>
      </w:tr>
      <w:tr w:rsidR="00B26BBC" w:rsidRPr="00B26BBC" w:rsidTr="0098283A">
        <w:tc>
          <w:tcPr>
            <w:tcW w:w="709" w:type="dxa"/>
          </w:tcPr>
          <w:p w:rsidR="00B26BBC" w:rsidRPr="00B26BBC" w:rsidRDefault="00B26BBC" w:rsidP="00B26BBC">
            <w:pPr>
              <w:widowControl w:val="0"/>
              <w:numPr>
                <w:ilvl w:val="0"/>
                <w:numId w:val="1"/>
              </w:numPr>
              <w:contextualSpacing/>
              <w:jc w:val="right"/>
              <w:rPr>
                <w:rFonts w:ascii="Times New Roman" w:hAnsi="Times New Roman"/>
                <w:sz w:val="24"/>
                <w:szCs w:val="24"/>
              </w:rPr>
            </w:pPr>
          </w:p>
        </w:tc>
        <w:tc>
          <w:tcPr>
            <w:tcW w:w="8930" w:type="dxa"/>
            <w:gridSpan w:val="2"/>
          </w:tcPr>
          <w:p w:rsidR="00B26BBC" w:rsidRPr="00B26BBC" w:rsidRDefault="00B26BBC" w:rsidP="00B26BBC">
            <w:pPr>
              <w:widowControl w:val="0"/>
              <w:jc w:val="both"/>
              <w:rPr>
                <w:rFonts w:ascii="Times New Roman" w:hAnsi="Times New Roman"/>
                <w:sz w:val="24"/>
                <w:szCs w:val="24"/>
                <w:lang w:val="en-US"/>
              </w:rPr>
            </w:pPr>
            <w:r w:rsidRPr="00B26BBC">
              <w:rPr>
                <w:rFonts w:ascii="Times New Roman" w:hAnsi="Times New Roman"/>
                <w:bCs/>
                <w:sz w:val="24"/>
                <w:szCs w:val="24"/>
                <w:lang w:val="en-US"/>
              </w:rPr>
              <w:t xml:space="preserve">Science, Technology and Industry Scoreboard 2015. Innovation for Growth and society» // </w:t>
            </w:r>
            <w:hyperlink r:id="rId9" w:history="1">
              <w:r w:rsidRPr="00B26BBC">
                <w:rPr>
                  <w:rFonts w:ascii="Times New Roman" w:hAnsi="Times New Roman"/>
                  <w:color w:val="0000FF"/>
                  <w:sz w:val="24"/>
                  <w:szCs w:val="24"/>
                  <w:u w:val="single"/>
                  <w:lang w:val="en-US"/>
                </w:rPr>
                <w:t>http://www.oecd-ilibrary.org/docserver/download/9215031e. pdf?expires=1465888581&amp;id=id&amp;accname=guest&amp;checksum=2FCD3B13AFF703CF276377C2B1DCD622</w:t>
              </w:r>
            </w:hyperlink>
            <w:r w:rsidRPr="00B26BBC">
              <w:rPr>
                <w:rFonts w:ascii="Times New Roman" w:hAnsi="Times New Roman"/>
                <w:sz w:val="24"/>
                <w:szCs w:val="24"/>
                <w:lang w:val="en-US"/>
              </w:rPr>
              <w:t>.</w:t>
            </w:r>
          </w:p>
        </w:tc>
      </w:tr>
      <w:tr w:rsidR="00B26BBC" w:rsidRPr="00B26BBC" w:rsidTr="0098283A">
        <w:tc>
          <w:tcPr>
            <w:tcW w:w="709" w:type="dxa"/>
          </w:tcPr>
          <w:p w:rsidR="00B26BBC" w:rsidRPr="00B26BBC" w:rsidRDefault="00B26BBC" w:rsidP="00B26BBC">
            <w:pPr>
              <w:widowControl w:val="0"/>
              <w:numPr>
                <w:ilvl w:val="0"/>
                <w:numId w:val="1"/>
              </w:numPr>
              <w:contextualSpacing/>
              <w:jc w:val="right"/>
              <w:rPr>
                <w:rFonts w:ascii="Times New Roman" w:hAnsi="Times New Roman"/>
                <w:sz w:val="24"/>
                <w:szCs w:val="24"/>
                <w:lang w:val="en-US"/>
              </w:rPr>
            </w:pPr>
          </w:p>
        </w:tc>
        <w:tc>
          <w:tcPr>
            <w:tcW w:w="8930" w:type="dxa"/>
            <w:gridSpan w:val="2"/>
          </w:tcPr>
          <w:p w:rsidR="00B26BBC" w:rsidRPr="00B26BBC" w:rsidRDefault="00B26BBC" w:rsidP="00B26BBC">
            <w:pPr>
              <w:widowControl w:val="0"/>
              <w:jc w:val="both"/>
              <w:rPr>
                <w:rFonts w:ascii="Times New Roman" w:hAnsi="Times New Roman"/>
                <w:bCs/>
                <w:sz w:val="24"/>
                <w:szCs w:val="24"/>
              </w:rPr>
            </w:pPr>
            <w:r w:rsidRPr="00B26BBC">
              <w:rPr>
                <w:rFonts w:ascii="Times New Roman" w:hAnsi="Times New Roman"/>
                <w:sz w:val="24"/>
                <w:szCs w:val="24"/>
              </w:rPr>
              <w:t>Иванова Л.Н. Точки роста и драйверы роста: к вопросу о содержании понятий / Л.Н. Иванова, Г.А. Терская // Journal of Institutional Studies (Журнал институциональных исследований). - 2015. - №7. – С. 120-133, с. 122.</w:t>
            </w:r>
          </w:p>
        </w:tc>
      </w:tr>
      <w:tr w:rsidR="00B26BBC" w:rsidRPr="00B26BBC" w:rsidTr="0098283A">
        <w:tc>
          <w:tcPr>
            <w:tcW w:w="709" w:type="dxa"/>
          </w:tcPr>
          <w:p w:rsidR="00B26BBC" w:rsidRPr="00B26BBC" w:rsidRDefault="00B26BBC" w:rsidP="00B26BBC">
            <w:pPr>
              <w:widowControl w:val="0"/>
              <w:numPr>
                <w:ilvl w:val="0"/>
                <w:numId w:val="1"/>
              </w:numPr>
              <w:contextualSpacing/>
              <w:jc w:val="right"/>
              <w:rPr>
                <w:rFonts w:ascii="Times New Roman" w:hAnsi="Times New Roman"/>
                <w:sz w:val="24"/>
                <w:szCs w:val="24"/>
              </w:rPr>
            </w:pPr>
          </w:p>
        </w:tc>
        <w:tc>
          <w:tcPr>
            <w:tcW w:w="8930" w:type="dxa"/>
            <w:gridSpan w:val="2"/>
          </w:tcPr>
          <w:p w:rsidR="00B26BBC" w:rsidRPr="00B26BBC" w:rsidRDefault="00B26BBC" w:rsidP="00B26BBC">
            <w:pPr>
              <w:widowControl w:val="0"/>
              <w:jc w:val="both"/>
              <w:rPr>
                <w:rFonts w:ascii="Times New Roman" w:hAnsi="Times New Roman"/>
                <w:sz w:val="24"/>
                <w:szCs w:val="24"/>
              </w:rPr>
            </w:pPr>
            <w:r w:rsidRPr="00B26BBC">
              <w:rPr>
                <w:rFonts w:ascii="Times New Roman" w:hAnsi="Times New Roman"/>
                <w:sz w:val="24"/>
                <w:szCs w:val="24"/>
              </w:rPr>
              <w:t>Вольчик В.В. Институциональные изменения в контексте модернизации хозяйственных порядков / В.В. Вольчик, В.В. Кот // Journal of Institutional Studies (Журнал институциональных исследований). - 2013. - №4. –С.36-57, с. 40.</w:t>
            </w:r>
          </w:p>
        </w:tc>
      </w:tr>
    </w:tbl>
    <w:p w:rsidR="00AC12A9" w:rsidRDefault="00AC12A9">
      <w:bookmarkStart w:id="4" w:name="_GoBack"/>
      <w:bookmarkEnd w:id="4"/>
    </w:p>
    <w:sectPr w:rsidR="00AC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79CD"/>
    <w:multiLevelType w:val="hybridMultilevel"/>
    <w:tmpl w:val="0E64955A"/>
    <w:lvl w:ilvl="0" w:tplc="32BCD45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BC"/>
    <w:rsid w:val="00AC12A9"/>
    <w:rsid w:val="00B2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53D19-1C61-4F81-8B6E-CE42B9AC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B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3" Type="http://schemas.openxmlformats.org/officeDocument/2006/relationships/settings" Target="settings.xml"/><Relationship Id="rId7" Type="http://schemas.openxmlformats.org/officeDocument/2006/relationships/hyperlink" Target="http://data.worldbank.org/%20indicator/NV.IND.MANF.Z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ndex.ua/clck/jsredir?from=www.yandex.ua%3Byandsearch%3Bweb%3B%3B&amp;text=&amp;etext=1087.XE13IqLjn1fFgQ3MIrTO3lkvdHOrYuAUNBw8FTBE07-PTzhalFSko_GmpM6ATPfw2X2D4kM5GlevOhhpmJB3Ig.81753619277b01c340952d85ce3e0596d6cfe602&amp;uuid=&amp;state=PEtFfuTeVD4jaxywoSUvtB2i7c0_vxGdxRuXfLZHQfBNCJIHCARR3B6nJBWFkYRWGrq5Tq9CDmwo_zdOySpB6BwK3ubM1KCq&amp;data=UlNrNmk5WktYejR0eWJFYk1LdmtxaU5TZUdMRE45Zi1acGRnMVoyVExNdXp2RHFEUnJLTDZFQU5qZmpKUWRrNGY0SFhTMk02Y2J6OHNDMWg1Q0t4bnBoekRGOFF1bzBqSVQyYWtONWdoWnJhd0Z0RnRMMmpUVTNqZTg5enVNSGxJQ212QThieTVqLTVvVzkzaVdsWUJObkRhOC1JNTc2RGNRSUUzUmxXQWpJbWJfd3FYNy1MbFJQa3R1VUM0bmNtVGUyRGZTb1V2a1pBSVdzUjhJMDBsZw&amp;b64e=2&amp;sign=9492a59b92f1640551e889d7f20781b1&amp;keyno=0&amp;cst=AiuY0DBWFJ5Hyx_fyvalFON_GKqAeebCsNNpMQropzdiYesO2JhXNyw0OX3qdxpNKzJJtXxHJpdPMnge2PtEb1jDPxkjCRvQb5EUsiTxISWAv6Ll7UwtMJwye-KBW0VmbfaryZKXiqrUc3DPoQIGb3quErpJaYealHobhnnQVNWb1o2frMTXP3rC97EAp4fQdccS-73lN9C3jwdV-jCElO-Y9TxP68pR&amp;ref=orjY4mGPRjlSKyJlbRuxUrM81v2Of8qOLBx_KLqAdr65JkTnb3WD2S0tjlOL36zgCcrlwPjpq2B2NiHz82pocSgwZkFmafJIURQRJage6L2gwmX0KTymnMnIluxle8JR7Qm3HMOFGvZvZZR_92rP1SIWJ1_0TH_sjgtanC9txNbGKn94dWFmSw&amp;l10n=ru&amp;cts=1466074304848&amp;mc=2.75" TargetMode="External"/><Relationship Id="rId11" Type="http://schemas.openxmlformats.org/officeDocument/2006/relationships/theme" Target="theme/theme1.xml"/><Relationship Id="rId5" Type="http://schemas.openxmlformats.org/officeDocument/2006/relationships/hyperlink" Target="http://www.unido.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ecd-ilibrary.org/docserver/download/9215031e.%20pdf?expires=1465888581&amp;id=id&amp;accname=guest&amp;checksum=2FCD3B13AFF703CF276377C2B1DCD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2445</Words>
  <Characters>13941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2017-12-03T10:11:00Z</dcterms:created>
  <dcterms:modified xsi:type="dcterms:W3CDTF">2017-12-03T10:12:00Z</dcterms:modified>
</cp:coreProperties>
</file>