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90"/>
      </w:tblGrid>
      <w:tr w:rsidR="00C514B1" w:rsidRPr="00C514B1" w:rsidTr="0098283A">
        <w:tc>
          <w:tcPr>
            <w:tcW w:w="9352" w:type="dxa"/>
            <w:gridSpan w:val="2"/>
            <w:hideMark/>
          </w:tcPr>
          <w:p w:rsidR="00C514B1" w:rsidRPr="00C514B1" w:rsidRDefault="00C514B1" w:rsidP="00C514B1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C514B1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C514B1">
              <w:rPr>
                <w:rFonts w:ascii="Times New Roman" w:hAnsi="Times New Roman"/>
                <w:b/>
                <w:sz w:val="28"/>
                <w:szCs w:val="28"/>
              </w:rPr>
              <w:t>336.225.6</w:t>
            </w:r>
          </w:p>
        </w:tc>
      </w:tr>
      <w:tr w:rsidR="00C514B1" w:rsidRPr="00C514B1" w:rsidTr="0098283A">
        <w:tc>
          <w:tcPr>
            <w:tcW w:w="9352" w:type="dxa"/>
            <w:gridSpan w:val="2"/>
          </w:tcPr>
          <w:p w:rsidR="00C514B1" w:rsidRPr="00C514B1" w:rsidRDefault="00C514B1" w:rsidP="00C514B1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15"/>
            <w:bookmarkStart w:id="1" w:name="_Toc480537139"/>
            <w:r w:rsidRPr="00C514B1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НАЛОГОВЫЙ МЕХАНИЗМ КАК ИНСТРУМЕНТ АНТИКРИЗИСНОГО УПРАВЛЕНИЯ</w:t>
            </w:r>
            <w:bookmarkEnd w:id="0"/>
            <w:bookmarkEnd w:id="1"/>
          </w:p>
        </w:tc>
      </w:tr>
      <w:tr w:rsidR="00C514B1" w:rsidRPr="00C514B1" w:rsidTr="0098283A">
        <w:tc>
          <w:tcPr>
            <w:tcW w:w="4679" w:type="dxa"/>
          </w:tcPr>
          <w:p w:rsidR="00C514B1" w:rsidRPr="00C514B1" w:rsidRDefault="00C514B1" w:rsidP="00C514B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514B1" w:rsidRPr="00C514B1" w:rsidRDefault="00C514B1" w:rsidP="00C514B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B1" w:rsidRPr="00C514B1" w:rsidTr="0098283A">
        <w:tc>
          <w:tcPr>
            <w:tcW w:w="4679" w:type="dxa"/>
          </w:tcPr>
          <w:p w:rsidR="00C514B1" w:rsidRPr="00C514B1" w:rsidRDefault="00C514B1" w:rsidP="00C514B1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514B1" w:rsidRPr="00C514B1" w:rsidRDefault="00C514B1" w:rsidP="00C514B1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916"/>
            <w:bookmarkStart w:id="3" w:name="_Toc480537140"/>
            <w:r w:rsidRPr="00C514B1">
              <w:rPr>
                <w:rFonts w:ascii="Times New Roman" w:hAnsi="Times New Roman"/>
                <w:b/>
                <w:bCs/>
                <w:sz w:val="28"/>
                <w:szCs w:val="26"/>
              </w:rPr>
              <w:t>О</w:t>
            </w:r>
            <w:r w:rsidRPr="00C514B1">
              <w:rPr>
                <w:rFonts w:ascii="Times New Roman" w:hAnsi="Times New Roman"/>
                <w:b/>
                <w:bCs/>
                <w:sz w:val="28"/>
                <w:szCs w:val="26"/>
                <w:lang w:val="uk-UA"/>
              </w:rPr>
              <w:t xml:space="preserve">. </w:t>
            </w:r>
            <w:r w:rsidRPr="00C514B1">
              <w:rPr>
                <w:rFonts w:ascii="Times New Roman" w:hAnsi="Times New Roman"/>
                <w:b/>
                <w:bCs/>
                <w:sz w:val="28"/>
                <w:szCs w:val="26"/>
              </w:rPr>
              <w:t>В</w:t>
            </w:r>
            <w:r w:rsidRPr="00C514B1">
              <w:rPr>
                <w:rFonts w:ascii="Times New Roman" w:hAnsi="Times New Roman"/>
                <w:b/>
                <w:bCs/>
                <w:sz w:val="28"/>
                <w:szCs w:val="26"/>
                <w:lang w:val="uk-UA"/>
              </w:rPr>
              <w:t xml:space="preserve">. </w:t>
            </w:r>
            <w:r w:rsidRPr="00C514B1">
              <w:rPr>
                <w:rFonts w:ascii="Times New Roman" w:hAnsi="Times New Roman"/>
                <w:b/>
                <w:bCs/>
                <w:sz w:val="28"/>
                <w:szCs w:val="26"/>
              </w:rPr>
              <w:t>Кононенко</w:t>
            </w:r>
            <w:bookmarkEnd w:id="2"/>
            <w:bookmarkEnd w:id="3"/>
          </w:p>
          <w:p w:rsidR="00C514B1" w:rsidRPr="00C514B1" w:rsidRDefault="00C514B1" w:rsidP="00C514B1">
            <w:pPr>
              <w:widowControl w:val="0"/>
              <w:tabs>
                <w:tab w:val="num" w:pos="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C514B1">
              <w:rPr>
                <w:rFonts w:ascii="Times New Roman" w:hAnsi="Times New Roman"/>
                <w:i/>
                <w:sz w:val="28"/>
                <w:szCs w:val="28"/>
              </w:rPr>
              <w:t>Государственное учреждение «Институт Экономических Исследований»</w:t>
            </w:r>
          </w:p>
          <w:p w:rsidR="00C514B1" w:rsidRPr="00C514B1" w:rsidRDefault="00C514B1" w:rsidP="00C514B1">
            <w:pPr>
              <w:widowControl w:val="0"/>
              <w:tabs>
                <w:tab w:val="num" w:pos="0"/>
              </w:tabs>
              <w:rPr>
                <w:rFonts w:ascii="Times New Roman" w:hAnsi="Times New Roman"/>
                <w:sz w:val="28"/>
                <w:szCs w:val="18"/>
              </w:rPr>
            </w:pPr>
            <w:r w:rsidRPr="00C514B1">
              <w:rPr>
                <w:rFonts w:ascii="Times New Roman" w:hAnsi="Times New Roman"/>
                <w:i/>
                <w:sz w:val="28"/>
                <w:szCs w:val="28"/>
              </w:rPr>
              <w:t>г. Донецк, Донецкая Народная Республика</w:t>
            </w:r>
          </w:p>
        </w:tc>
      </w:tr>
    </w:tbl>
    <w:p w:rsidR="00C514B1" w:rsidRPr="00C514B1" w:rsidRDefault="00C514B1" w:rsidP="00C514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B1" w:rsidRPr="00C514B1" w:rsidRDefault="00C514B1" w:rsidP="00C514B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Аннотация. В работе рассмотрена сущность и определены особенности налогового механизма на микро- и макроэкономическом уровне. Обоснована важность налогового механизма как одного из инструментов повышения эффективности антикризисного управления экономической системой. </w:t>
      </w:r>
    </w:p>
    <w:p w:rsidR="00C514B1" w:rsidRPr="00C514B1" w:rsidRDefault="00C514B1" w:rsidP="00C514B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</w:t>
      </w:r>
      <w:r w:rsidRPr="00C514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финансы</w:t>
      </w:r>
      <w:r w:rsidRPr="00C514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C514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налоговая система, налоговый инструмент, налоговый механизм, государственное регулирование.</w:t>
      </w:r>
    </w:p>
    <w:p w:rsidR="00C514B1" w:rsidRPr="00C514B1" w:rsidRDefault="00C514B1" w:rsidP="00C514B1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B1" w:rsidRPr="00C514B1" w:rsidRDefault="00C514B1" w:rsidP="00C514B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514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The paper deals with the essence and specifies the features of the tax mechanism at the micro- and macroeconomic level. The importance of the tax mechanism as one of the fiscal tools for increasing the effectiveness of the crisis management of the economic system are considered.</w:t>
      </w:r>
    </w:p>
    <w:p w:rsidR="00C514B1" w:rsidRPr="00C514B1" w:rsidRDefault="00C514B1" w:rsidP="00C514B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18"/>
          <w:lang w:val="en-US" w:eastAsia="ru-RU"/>
        </w:rPr>
      </w:pPr>
      <w:r w:rsidRPr="00C514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Keywords: </w:t>
      </w:r>
      <w:r w:rsidRPr="00C514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finance, tax system, fiscal tools, tax mechanism, state regulation.</w:t>
      </w:r>
    </w:p>
    <w:p w:rsidR="00C514B1" w:rsidRPr="00C514B1" w:rsidRDefault="00C514B1" w:rsidP="00C514B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lang w:val="en-US" w:eastAsia="ru-RU"/>
        </w:rPr>
      </w:pP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Глобальный характер усиления макроэкономической нестабильности содействует актуализации проблем, связанных с необходимостью повышения эффективности антикризисного управления на всех уровнях функционирования экономической системы. Динамичные изменения в современной экономике стремительно формируют новые угрозы и возможности, форсируют текущие и провоцируют новые кризисные процессы. Кризисные явления сложным образом наслаиваются на циклический характер экономических процессов и вместе с тем требуют поиска и использования новых форм и методов антикризисного управления, чтобы не только сгладить негативные последствия кризисов, но и использовать их возможности для существенных изменений экономической системы.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точных ответов на кризисные вызовы ставит новые, более сложные задачи для различных уровней государственного управления по обеспечению устойчивого и стабильного экономического развития управляемых систем – государства и его регионов, административных образований. В таких условиях, важность приобретают вопросы совершенствования финансового механизма как инструментария повышения эффективности антикризисного управления экономической системой.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Цель </w:t>
      </w:r>
      <w:r w:rsidRPr="00C514B1">
        <w:rPr>
          <w:rFonts w:ascii="Times New Roman" w:eastAsia="Times New Roman" w:hAnsi="Times New Roman" w:cs="Times New Roman"/>
          <w:sz w:val="28"/>
          <w:lang w:eastAsia="ru-RU"/>
        </w:rPr>
        <w:t xml:space="preserve">исследования – обосновать важность налогового механизма как </w:t>
      </w:r>
      <w:r w:rsidRPr="00C514B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одного из инструментов повышения эффективности антикризисного управления экономической системой</w:t>
      </w:r>
      <w:r w:rsidRPr="00C514B1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экономических механизмов возникла в связи с изучением вопроса: как должна быть организована плановая экономика, чтобы информация, необходимая для ее эффективного функционирования, использовалась наиболее оптимальным образом [1]?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макроуровне главной целью финансового механизма является создание устойчивых и достаточных финансовых ресурсов для нормального функционирования экономики государства в условиях циклично изменяющейся внешней среды, в которой подъемы сменяются спадами, депрессиями, кризисами [2].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финансового механизма на макроуровне являются налогообложение, ценообразование, тарифное регулирование и т. д., а отношения между элементами определяются нормативным и правовым обеспечением. Правовое обеспечение функционирования финансового механизма включает в себя законодательные акты и другие правовые документы, нормативное обеспечение в виде инструкций, норм, нормативов, тарифных ставок либо методических указаний.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механизм, как совокупность методов воздействия на экономику, посредством сочетания способов и правил организации налоговых отношений, содержит значительный регулирующий потенциал и способен эффективно и комплексно воздействовать на все факторы устойчивого развития региона [3]. 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Составные части налогового механизма на макро- и микроэкономических уровнях имеют определенные различия: субъектами реализации налогового механизма являются: на макроуровне – государство, на микроуровне – хозяйствующий субъект; объектами управления являются: на макроуровне – совокупность налоговых поступлений бюджетной системы, на микроуровне – совокупность налоговых платежей и обязательств налогоплательщика; эти объекты связаны между собой и взаимообусловлены. 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Двойственный характер природы налогового механизма объясняет его сущность. Объективная составляющая обозначает его как активный инструмент воздействия на процессы воспроизводства и определяется распределительными отношениями категории финансы, выражая процесс формирования финансовых ресурсов государства и отражая возникающие противоречия между производством, обменом и потреблением, между предложением и платежеспособным спросом в обществе. Субъективная составляющая налогового механизма, разрабатываемого осознано и целенаправленно, обусловливает его динамичный характер, проявляющийся в изменении состава и соотношения инструментов, соответствующих конкретному этапу экономического развития общества.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Выступая инструментом обратной связи и зависимости уровня развития экономики от состояния его экономических субъектов, налоговый механизм является средством обеспечения устойчивого развития или фактором </w:t>
      </w: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нестабильности системы жизнеобеспечения региона.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механизм приводит в действие законодательно оформленную налоговую систему в соответствие с принятой правительством концепцией, стратегией и тактикой налоговой политики. Содержание налогового механизма двояко: с одной стороны, он опосредует совокупность организационно-финансовых отношений, складывающихся в процессе налогообложения в широком его понимании; с другой – это конкретная налоговая техника в процессе налогового планирования, организации исполнения налоговых бюджетов, налогового регулирования и налогового </w:t>
      </w:r>
      <w:proofErr w:type="gramStart"/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контроля[</w:t>
      </w:r>
      <w:proofErr w:type="gramEnd"/>
      <w:r w:rsidRPr="00C51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формирования эффективного налогового механизма в политике государства является совершенствование инструментов механизма: структуры налогов в действующей налоговой системе и как инструментария – регулируемых элементов налога.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налоговой системы Донецкой Народной Республике происходит в непростых условиях. Сложная экономическая и финансовая обстановка, военно-политический конфликт, привели к разрушению производственного потенциала, нарушению хозяйственных связей и ухудшению демографической ситуации, что не способствует росту базы налогообложения и объемов налоговых поступлений в бюджет. Центральным направлением построения налогового механизма должно быть содействие предпринимательской активности, стабилизация и повышение эффективности материального производства, и как следствие удовлетворение государственных и социальных потребностей.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основным преимуществом налоговой системы ДНР является ее простота и доступность для рядового плательщика налогов, упрощенность и стремительное совершенствование, на основе использования международного опыта, а также отмена налога на добавленную стоимость и введение налога с оборота. Также большой проблемой налогового регулирования остаются схемы ухода от уплаты налогов. Важной и непростой задачей является определение границы между добросовестными и недобросовестными методами снижения налоговой нагрузки, возможностями среднесрочного налогового планирования, не повторяя ошибок пережитка прошлых лет, избегая неточностей и намеренных искажений наследуемого законодательства.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прямому предназначению системы налогообложения (пополнение доходов государственной казны), налоговый механизм должен выполнять главную роль – обеспечивать экономический рост и развитие производства. Для этого используемая структура налогов, их виды, элементы налогообложения должны быть унифицированы и подчинены главной цели – качественному экономическому развитию.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постконфликтного восстановления эффективных и стабильных экономических механизмов у Донецкой Народной Республики появилась возможность построения такой новой налоговой системы, которая будет способствовать быстрому восстановлению хозяйства территории, </w:t>
      </w: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уменьшению теневой экономики и масштабов уклонения от уплаты налогов, сглаживанию дифференциации доходов различных групп населения.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специфические экономические и институциональные особенности ДНР, генеральная стратегия в сфере совершенствования налогового механизма должна состоять не в курсе на повышение налогов и их фискальной эффективности, а в курсе на повышение экономической эффективности за счёт постепенного перехода к такой структуре налогов на всех уровнях, которая меньше препятствует расширению и устойчивому росту налоговой базы. 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налоговых инструментов связан с определением целей налоговой политики, ориентация на которые и определяет инструментальный характер конкретных налогов как средств достижения этих целей. При теоретическом анализе в рамках классической теории общественного сектора выделяют две основные группы целей, которые можно охарактеризовать такими категориями, как «экономическая эффективность» и «социальная справедливость».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налоговый механизм как субъективная форма антикризисного государственного управления представляет собой систему методов управления налоговыми отношениями и организационно-правовых форм, которым государство придает юридическую форму изданием и утверждением норм налогового законодательства. Устойчивое развитие государства отражает стабильность экономической и финансовой системы под всесторонним влиянием факторов внешней и внутренней среды и обеспечивается в результате реализации комплекса факторов, среди которых особую роль играют налоговые, в совокупности образующие налоговый механизм. 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совершенствование налогового механизма государства как составной части социально-экономической политики направлено на создание оптимальной налоговой системы, стимулирующей процессы накопления и рационального использования национального богатства страны, гармонизацию интересов государства и общества. </w:t>
      </w:r>
    </w:p>
    <w:p w:rsidR="00C514B1" w:rsidRPr="00C514B1" w:rsidRDefault="00C514B1" w:rsidP="00C5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целесообразным представляется дальнейшее исследование по построению оптимального налогового механизма в условиях восстановления постконфликтной экономики.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943"/>
        <w:gridCol w:w="4609"/>
      </w:tblGrid>
      <w:tr w:rsidR="00C514B1" w:rsidRPr="00C514B1" w:rsidTr="0098283A">
        <w:tc>
          <w:tcPr>
            <w:tcW w:w="4819" w:type="dxa"/>
            <w:gridSpan w:val="2"/>
          </w:tcPr>
          <w:p w:rsidR="00C514B1" w:rsidRPr="00C514B1" w:rsidRDefault="00C514B1" w:rsidP="00C514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514B1" w:rsidRPr="00C514B1" w:rsidRDefault="00C514B1" w:rsidP="00C514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B1" w:rsidRPr="00C514B1" w:rsidTr="0098283A">
        <w:tc>
          <w:tcPr>
            <w:tcW w:w="9639" w:type="dxa"/>
            <w:gridSpan w:val="3"/>
          </w:tcPr>
          <w:p w:rsidR="00C514B1" w:rsidRPr="00C514B1" w:rsidRDefault="00C514B1" w:rsidP="00C514B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B1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C514B1" w:rsidRPr="00C514B1" w:rsidTr="0098283A">
        <w:tc>
          <w:tcPr>
            <w:tcW w:w="709" w:type="dxa"/>
          </w:tcPr>
          <w:p w:rsidR="00C514B1" w:rsidRPr="00C514B1" w:rsidRDefault="00C514B1" w:rsidP="00C514B1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C514B1" w:rsidRPr="00C514B1" w:rsidRDefault="00C514B1" w:rsidP="00C514B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t>Измалков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 xml:space="preserve"> С. Теория экономических механизмов (Нобелевская премия по экономике 2007 г.) / С. </w:t>
            </w: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t>Измалков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 xml:space="preserve">, К. Сонин, М. </w:t>
            </w: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t>Юдкевич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 xml:space="preserve"> // Вопросы экономики 200, №1</w:t>
            </w:r>
            <w:r w:rsidRPr="00C514B1">
              <w:rPr>
                <w:rFonts w:ascii="Times New Roman" w:hAnsi="Times New Roman"/>
                <w:sz w:val="24"/>
                <w:szCs w:val="24"/>
                <w:lang w:val="uk-UA"/>
              </w:rPr>
              <w:t>. –</w:t>
            </w:r>
            <w:r w:rsidRPr="00C514B1">
              <w:rPr>
                <w:rFonts w:ascii="Times New Roman" w:hAnsi="Times New Roman"/>
                <w:sz w:val="24"/>
                <w:szCs w:val="24"/>
              </w:rPr>
              <w:t xml:space="preserve">  С. 4-26.</w:t>
            </w:r>
          </w:p>
        </w:tc>
      </w:tr>
      <w:tr w:rsidR="00C514B1" w:rsidRPr="00C514B1" w:rsidTr="0098283A">
        <w:tc>
          <w:tcPr>
            <w:tcW w:w="709" w:type="dxa"/>
          </w:tcPr>
          <w:p w:rsidR="00C514B1" w:rsidRPr="00C514B1" w:rsidRDefault="00C514B1" w:rsidP="00C514B1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C514B1" w:rsidRPr="00C514B1" w:rsidRDefault="00C514B1" w:rsidP="00C514B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4B1">
              <w:rPr>
                <w:rFonts w:ascii="Times New Roman" w:hAnsi="Times New Roman"/>
                <w:sz w:val="24"/>
                <w:szCs w:val="24"/>
              </w:rPr>
              <w:t>Курилов К. Ю. Формирование системы ключевых показателей финансового механизма управления / К.Ю. Курилов, А.А, Курилова. - Тольятти: Вестник Волжского университета им. В.Н. Татищева, 2010. - № 20. - С. 98-103</w:t>
            </w:r>
          </w:p>
        </w:tc>
      </w:tr>
      <w:tr w:rsidR="00C514B1" w:rsidRPr="00C514B1" w:rsidTr="0098283A">
        <w:tc>
          <w:tcPr>
            <w:tcW w:w="709" w:type="dxa"/>
          </w:tcPr>
          <w:p w:rsidR="00C514B1" w:rsidRPr="00C514B1" w:rsidRDefault="00C514B1" w:rsidP="00C514B1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C514B1" w:rsidRPr="00C514B1" w:rsidRDefault="00C514B1" w:rsidP="00C514B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t>Майбуров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 xml:space="preserve"> И.А. Энциклопедия теоретических основ налогообложения / Под ред. И.А. </w:t>
            </w: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t>Майбурова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>, Ю.Б. Иванова. // М.: ЮНИТИ-ДАНА, 2016. – 503 с.</w:t>
            </w:r>
          </w:p>
        </w:tc>
      </w:tr>
      <w:tr w:rsidR="00C514B1" w:rsidRPr="00C514B1" w:rsidTr="0098283A">
        <w:tc>
          <w:tcPr>
            <w:tcW w:w="709" w:type="dxa"/>
          </w:tcPr>
          <w:p w:rsidR="00C514B1" w:rsidRPr="00C514B1" w:rsidRDefault="00C514B1" w:rsidP="00C514B1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C514B1" w:rsidRPr="00C514B1" w:rsidRDefault="00C514B1" w:rsidP="00C514B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t>Тюпакова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 xml:space="preserve"> Н. Н. Особенности функционирования налогового механизма в транзитивной экономике / Н. Н. </w:t>
            </w: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t>Тюпакова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 xml:space="preserve">, О.Ф. </w:t>
            </w: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 xml:space="preserve"> // Научный журнал </w:t>
            </w:r>
            <w:proofErr w:type="spellStart"/>
            <w:r w:rsidRPr="00C514B1">
              <w:rPr>
                <w:rFonts w:ascii="Times New Roman" w:hAnsi="Times New Roman"/>
                <w:sz w:val="24"/>
                <w:szCs w:val="24"/>
              </w:rPr>
              <w:lastRenderedPageBreak/>
              <w:t>КубГАУ</w:t>
            </w:r>
            <w:proofErr w:type="spellEnd"/>
            <w:r w:rsidRPr="00C514B1">
              <w:rPr>
                <w:rFonts w:ascii="Times New Roman" w:hAnsi="Times New Roman"/>
                <w:sz w:val="24"/>
                <w:szCs w:val="24"/>
              </w:rPr>
              <w:t xml:space="preserve"> - 2011. №66. – С. 222-234.</w:t>
            </w:r>
          </w:p>
        </w:tc>
      </w:tr>
    </w:tbl>
    <w:p w:rsidR="00AC12A9" w:rsidRDefault="00AC12A9">
      <w:bookmarkStart w:id="4" w:name="_GoBack"/>
      <w:bookmarkEnd w:id="4"/>
    </w:p>
    <w:sectPr w:rsidR="00A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6F2"/>
    <w:multiLevelType w:val="hybridMultilevel"/>
    <w:tmpl w:val="0E64955A"/>
    <w:lvl w:ilvl="0" w:tplc="32BCD4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1"/>
    <w:rsid w:val="00AC12A9"/>
    <w:rsid w:val="00C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B9FF-1A74-4D88-A533-0F11AB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2017-12-03T10:03:00Z</dcterms:created>
  <dcterms:modified xsi:type="dcterms:W3CDTF">2017-12-03T10:03:00Z</dcterms:modified>
</cp:coreProperties>
</file>