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D4" w:rsidRPr="00177BD4" w:rsidRDefault="00177BD4" w:rsidP="00177B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BD4">
        <w:rPr>
          <w:rFonts w:ascii="Times New Roman" w:hAnsi="Times New Roman" w:cs="Times New Roman"/>
          <w:sz w:val="28"/>
          <w:szCs w:val="28"/>
        </w:rPr>
        <w:t>Портнова</w:t>
      </w:r>
      <w:proofErr w:type="spellEnd"/>
      <w:r w:rsidRPr="00177BD4">
        <w:rPr>
          <w:rFonts w:ascii="Times New Roman" w:hAnsi="Times New Roman" w:cs="Times New Roman"/>
          <w:sz w:val="28"/>
          <w:szCs w:val="28"/>
        </w:rPr>
        <w:t xml:space="preserve"> Г.О.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77BD4">
        <w:rPr>
          <w:rFonts w:ascii="Times New Roman" w:hAnsi="Times New Roman" w:cs="Times New Roman"/>
          <w:sz w:val="28"/>
          <w:szCs w:val="28"/>
        </w:rPr>
        <w:t>УДК 330</w:t>
      </w:r>
    </w:p>
    <w:p w:rsidR="00177BD4" w:rsidRPr="00177BD4" w:rsidRDefault="00177BD4" w:rsidP="00177BD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77BD4">
        <w:rPr>
          <w:rFonts w:ascii="Times New Roman" w:hAnsi="Times New Roman" w:cs="Times New Roman"/>
          <w:sz w:val="28"/>
          <w:szCs w:val="28"/>
        </w:rPr>
        <w:t>УЧАСТЬ ГРОМАДЯН В ПРОЦЕСІ УПРАВЛІННЯ ДЕРЖАВОЮ</w:t>
      </w:r>
    </w:p>
    <w:p w:rsidR="00177BD4" w:rsidRPr="00177BD4" w:rsidRDefault="00177BD4" w:rsidP="00177BD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77BD4">
        <w:rPr>
          <w:rFonts w:ascii="Times New Roman" w:hAnsi="Times New Roman" w:cs="Times New Roman"/>
          <w:i/>
          <w:sz w:val="24"/>
          <w:szCs w:val="24"/>
          <w:lang w:val="ru-RU"/>
        </w:rPr>
        <w:t>Аннотация. В статье проанализирована тенденция сотрудничества между государственным и</w:t>
      </w:r>
      <w:r w:rsidRPr="00177BD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177BD4">
        <w:rPr>
          <w:rFonts w:ascii="Times New Roman" w:hAnsi="Times New Roman" w:cs="Times New Roman"/>
          <w:i/>
          <w:sz w:val="24"/>
          <w:szCs w:val="24"/>
          <w:lang w:val="ru-RU"/>
        </w:rPr>
        <w:t>общественным сектором Украины, в частности, по вопросам общего формирования и развития</w:t>
      </w:r>
      <w:r w:rsidRPr="00177BD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177BD4">
        <w:rPr>
          <w:rFonts w:ascii="Times New Roman" w:hAnsi="Times New Roman" w:cs="Times New Roman"/>
          <w:i/>
          <w:sz w:val="24"/>
          <w:szCs w:val="24"/>
          <w:lang w:val="ru-RU"/>
        </w:rPr>
        <w:t>государственной политики на местном уровне. Доказано, что общественные организации могут влиять</w:t>
      </w:r>
      <w:r w:rsidRPr="00177BD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177BD4">
        <w:rPr>
          <w:rFonts w:ascii="Times New Roman" w:hAnsi="Times New Roman" w:cs="Times New Roman"/>
          <w:i/>
          <w:sz w:val="24"/>
          <w:szCs w:val="24"/>
          <w:lang w:val="ru-RU"/>
        </w:rPr>
        <w:t>на формирование и развитие государственной политики, и большинство украинских общественных</w:t>
      </w:r>
      <w:r w:rsidRPr="00177BD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177BD4">
        <w:rPr>
          <w:rFonts w:ascii="Times New Roman" w:hAnsi="Times New Roman" w:cs="Times New Roman"/>
          <w:i/>
          <w:sz w:val="24"/>
          <w:szCs w:val="24"/>
          <w:lang w:val="ru-RU"/>
        </w:rPr>
        <w:t>организаций являются региональными.</w:t>
      </w:r>
    </w:p>
    <w:p w:rsidR="00177BD4" w:rsidRPr="00177BD4" w:rsidRDefault="00177BD4" w:rsidP="00177BD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77BD4">
        <w:rPr>
          <w:rFonts w:ascii="Times New Roman" w:hAnsi="Times New Roman" w:cs="Times New Roman"/>
          <w:i/>
          <w:sz w:val="24"/>
          <w:szCs w:val="24"/>
          <w:lang w:val="ru-RU"/>
        </w:rPr>
        <w:t>Ключевые слова: граждане, общественные организации, государство, региональный уровень, местное</w:t>
      </w:r>
      <w:r w:rsidRPr="00177BD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177BD4">
        <w:rPr>
          <w:rFonts w:ascii="Times New Roman" w:hAnsi="Times New Roman" w:cs="Times New Roman"/>
          <w:i/>
          <w:sz w:val="24"/>
          <w:szCs w:val="24"/>
          <w:lang w:val="ru-RU"/>
        </w:rPr>
        <w:t>самоуправление.</w:t>
      </w:r>
    </w:p>
    <w:p w:rsidR="00177BD4" w:rsidRPr="00177BD4" w:rsidRDefault="00177BD4" w:rsidP="00177BD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77BD4" w:rsidRPr="00177BD4" w:rsidRDefault="00177BD4" w:rsidP="00177BD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BD4">
        <w:rPr>
          <w:rFonts w:ascii="Times New Roman" w:hAnsi="Times New Roman" w:cs="Times New Roman"/>
          <w:i/>
          <w:sz w:val="24"/>
          <w:szCs w:val="24"/>
        </w:rPr>
        <w:t>Анотація. В статті проаналізовано тенденцію співробітництва між державним та громадським</w:t>
      </w:r>
      <w:r w:rsidRPr="00177B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7BD4">
        <w:rPr>
          <w:rFonts w:ascii="Times New Roman" w:hAnsi="Times New Roman" w:cs="Times New Roman"/>
          <w:i/>
          <w:sz w:val="24"/>
          <w:szCs w:val="24"/>
        </w:rPr>
        <w:t>сектором України, зокрема, з питань спільного формування та розвитку державної політики на</w:t>
      </w:r>
      <w:r w:rsidRPr="00177B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7BD4">
        <w:rPr>
          <w:rFonts w:ascii="Times New Roman" w:hAnsi="Times New Roman" w:cs="Times New Roman"/>
          <w:i/>
          <w:sz w:val="24"/>
          <w:szCs w:val="24"/>
        </w:rPr>
        <w:t>місцевому рівні. Доведено, що громадські організації можуть впливати на формування та розвиток</w:t>
      </w:r>
      <w:r w:rsidRPr="00177B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7BD4">
        <w:rPr>
          <w:rFonts w:ascii="Times New Roman" w:hAnsi="Times New Roman" w:cs="Times New Roman"/>
          <w:i/>
          <w:sz w:val="24"/>
          <w:szCs w:val="24"/>
        </w:rPr>
        <w:t>державної політики, і більшість українських громадських організацій є регіональними.</w:t>
      </w:r>
    </w:p>
    <w:p w:rsidR="00177BD4" w:rsidRPr="00177BD4" w:rsidRDefault="00177BD4" w:rsidP="00177BD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BD4">
        <w:rPr>
          <w:rFonts w:ascii="Times New Roman" w:hAnsi="Times New Roman" w:cs="Times New Roman"/>
          <w:i/>
          <w:sz w:val="24"/>
          <w:szCs w:val="24"/>
        </w:rPr>
        <w:t>Ключові слова: громадяни, громадські організації, держава, регіональний рівень, місцеве</w:t>
      </w:r>
      <w:r w:rsidRPr="00177B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7BD4">
        <w:rPr>
          <w:rFonts w:ascii="Times New Roman" w:hAnsi="Times New Roman" w:cs="Times New Roman"/>
          <w:i/>
          <w:sz w:val="24"/>
          <w:szCs w:val="24"/>
        </w:rPr>
        <w:t>самоврядування.</w:t>
      </w:r>
    </w:p>
    <w:p w:rsidR="00177BD4" w:rsidRPr="00177BD4" w:rsidRDefault="00177BD4" w:rsidP="00177BD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7BD4" w:rsidRPr="00177BD4" w:rsidRDefault="00177BD4" w:rsidP="00177BD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177BD4">
        <w:rPr>
          <w:rFonts w:ascii="Times New Roman" w:hAnsi="Times New Roman" w:cs="Times New Roman"/>
          <w:i/>
          <w:sz w:val="24"/>
          <w:szCs w:val="24"/>
          <w:lang w:val="en-US"/>
        </w:rPr>
        <w:t>Summary.</w:t>
      </w:r>
      <w:proofErr w:type="gramEnd"/>
      <w:r w:rsidRPr="00177B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the article there is analyzed the tendency of collaboration between the state and public sector of</w:t>
      </w:r>
      <w:r w:rsidRPr="00177B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7BD4">
        <w:rPr>
          <w:rFonts w:ascii="Times New Roman" w:hAnsi="Times New Roman" w:cs="Times New Roman"/>
          <w:i/>
          <w:sz w:val="24"/>
          <w:szCs w:val="24"/>
          <w:lang w:val="en-US"/>
        </w:rPr>
        <w:t>Ukraine, in particular, on questions of the general forming and development of public policy at local level. It is</w:t>
      </w:r>
      <w:r w:rsidRPr="00177B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7BD4">
        <w:rPr>
          <w:rFonts w:ascii="Times New Roman" w:hAnsi="Times New Roman" w:cs="Times New Roman"/>
          <w:i/>
          <w:sz w:val="24"/>
          <w:szCs w:val="24"/>
          <w:lang w:val="en-US"/>
        </w:rPr>
        <w:t>proven that public organizations can influence forming and development of state policy, and the most Ukrainian</w:t>
      </w:r>
      <w:r w:rsidRPr="00177B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7BD4">
        <w:rPr>
          <w:rFonts w:ascii="Times New Roman" w:hAnsi="Times New Roman" w:cs="Times New Roman"/>
          <w:i/>
          <w:sz w:val="24"/>
          <w:szCs w:val="24"/>
          <w:lang w:val="en-US"/>
        </w:rPr>
        <w:t>public organizations are regional.</w:t>
      </w:r>
    </w:p>
    <w:p w:rsidR="00177BD4" w:rsidRPr="00177BD4" w:rsidRDefault="00177BD4" w:rsidP="00177BD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77BD4">
        <w:rPr>
          <w:rFonts w:ascii="Times New Roman" w:hAnsi="Times New Roman" w:cs="Times New Roman"/>
          <w:i/>
          <w:sz w:val="24"/>
          <w:szCs w:val="24"/>
          <w:lang w:val="en-US"/>
        </w:rPr>
        <w:t>Keywords: citizens, public organizations, state, regional level, local self-government</w:t>
      </w:r>
    </w:p>
    <w:p w:rsidR="00177BD4" w:rsidRDefault="00177BD4" w:rsidP="00177B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BD4" w:rsidRPr="00177BD4" w:rsidRDefault="00177BD4" w:rsidP="00177B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D4">
        <w:rPr>
          <w:rFonts w:ascii="Times New Roman" w:hAnsi="Times New Roman" w:cs="Times New Roman"/>
          <w:sz w:val="28"/>
          <w:szCs w:val="28"/>
        </w:rPr>
        <w:t>Актуальність. Демократія відрізняється від інших політичних систем саме рівнем участі громадян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процесі управління, що не закінчується кабіною для голосування, а проявляється у поточній діяльності.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Дослідження рівня місцевого самоврядування, а саме поглиблення співпраці громадських організацій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органів міської виконавчої влади в обговоренні проектів рішень є важливим чинником формування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громадянського суспільства та соціально-економічного розвитку регіонів України. Аналізуючи українські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реалії, експерти зазначають, що протягом останніх років активізувалося співробітництво між державним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громадським сектором, зокрема, з питань спільного формування та розвитку державної політики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 xml:space="preserve">місцевому рівні. </w:t>
      </w:r>
      <w:r w:rsidRPr="00177BD4">
        <w:rPr>
          <w:rFonts w:ascii="Times New Roman" w:hAnsi="Times New Roman" w:cs="Times New Roman"/>
          <w:sz w:val="28"/>
          <w:szCs w:val="28"/>
        </w:rPr>
        <w:lastRenderedPageBreak/>
        <w:t>Взагалі, громадські організації можуть впливати на формування та розвиток державної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політики передусім на місцевому рівні, на національному ж основними гравцями залишаються впливові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політичні та бізнесові структури. Це є результатом недостатньої розвиненості третинного сектору (зокрема,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для українського третинного сектору на даному етапі характерна відсутність інтеграційних структур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національного рівня, спроможних забезпечити суттєвий вплив на державну політику, недостатній обсяг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 xml:space="preserve">відповідного досвіду конструювання </w:t>
      </w:r>
      <w:proofErr w:type="spellStart"/>
      <w:r w:rsidRPr="00177BD4">
        <w:rPr>
          <w:rFonts w:ascii="Times New Roman" w:hAnsi="Times New Roman" w:cs="Times New Roman"/>
          <w:sz w:val="28"/>
          <w:szCs w:val="28"/>
        </w:rPr>
        <w:t>міжсекторних</w:t>
      </w:r>
      <w:proofErr w:type="spellEnd"/>
      <w:r w:rsidRPr="00177BD4">
        <w:rPr>
          <w:rFonts w:ascii="Times New Roman" w:hAnsi="Times New Roman" w:cs="Times New Roman"/>
          <w:sz w:val="28"/>
          <w:szCs w:val="28"/>
        </w:rPr>
        <w:t xml:space="preserve"> партнерств, проблеми відкритості громадських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організацій, що відображають їх певну незахищеність від втручання зовні), щоб мати значний авторитет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серед представників державної влади та громадськості взагалі. Важливим є недостатній рівень довіри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громадян до громадських організації, що, у свою чергу, пов’язано із неро</w:t>
      </w:r>
      <w:r>
        <w:rPr>
          <w:rFonts w:ascii="Times New Roman" w:hAnsi="Times New Roman" w:cs="Times New Roman"/>
          <w:sz w:val="28"/>
          <w:szCs w:val="28"/>
        </w:rPr>
        <w:t xml:space="preserve">звиненістю третинного сектору в </w:t>
      </w:r>
      <w:r w:rsidRPr="00177BD4">
        <w:rPr>
          <w:rFonts w:ascii="Times New Roman" w:hAnsi="Times New Roman" w:cs="Times New Roman"/>
          <w:sz w:val="28"/>
          <w:szCs w:val="28"/>
        </w:rPr>
        <w:t>Україні, та досі невисоким рівнем громадянської свідомості українців, що звикли розглядати державу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єдиним реальним і можливим захисником своїх інтересів, низьким рівнем знань про роль і 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громадських організацій.</w:t>
      </w:r>
    </w:p>
    <w:p w:rsidR="00177BD4" w:rsidRPr="00177BD4" w:rsidRDefault="00177BD4" w:rsidP="00177B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D4">
        <w:rPr>
          <w:rFonts w:ascii="Times New Roman" w:hAnsi="Times New Roman" w:cs="Times New Roman"/>
          <w:sz w:val="28"/>
          <w:szCs w:val="28"/>
        </w:rPr>
        <w:t>Аналіз останніх публікацій довів, що проблемам, які висвітлюються в цій статті присвячено небагато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 xml:space="preserve">наукових праць. Так, розвиток громадянського суспільства в Україні досліджують Я. </w:t>
      </w:r>
      <w:proofErr w:type="spellStart"/>
      <w:r w:rsidRPr="00177BD4">
        <w:rPr>
          <w:rFonts w:ascii="Times New Roman" w:hAnsi="Times New Roman" w:cs="Times New Roman"/>
          <w:sz w:val="28"/>
          <w:szCs w:val="28"/>
        </w:rPr>
        <w:t>Шара</w:t>
      </w:r>
      <w:proofErr w:type="spellEnd"/>
      <w:r w:rsidRPr="00177BD4">
        <w:rPr>
          <w:rFonts w:ascii="Times New Roman" w:hAnsi="Times New Roman" w:cs="Times New Roman"/>
          <w:sz w:val="28"/>
          <w:szCs w:val="28"/>
        </w:rPr>
        <w:t xml:space="preserve"> й І. </w:t>
      </w:r>
      <w:proofErr w:type="spellStart"/>
      <w:r w:rsidRPr="00177BD4">
        <w:rPr>
          <w:rFonts w:ascii="Times New Roman" w:hAnsi="Times New Roman" w:cs="Times New Roman"/>
          <w:sz w:val="28"/>
          <w:szCs w:val="28"/>
        </w:rPr>
        <w:t>Підлуська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[1], В.Кравчук оцінює діяльність громадських організацій в громадянському суспільстві [2], М.</w:t>
      </w:r>
      <w:proofErr w:type="spellStart"/>
      <w:r w:rsidRPr="00177BD4">
        <w:rPr>
          <w:rFonts w:ascii="Times New Roman" w:hAnsi="Times New Roman" w:cs="Times New Roman"/>
          <w:sz w:val="28"/>
          <w:szCs w:val="28"/>
        </w:rPr>
        <w:t>Цимбалюк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вважає, що особистість є головною умовою існування громадянського суспільства [3]. Однак, в науковій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літературі відчувається певний нестаток праць відносно дослідження різних аспектів участі громадян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управлінні державою.</w:t>
      </w:r>
    </w:p>
    <w:p w:rsidR="00177BD4" w:rsidRPr="00177BD4" w:rsidRDefault="00177BD4" w:rsidP="00177B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D4">
        <w:rPr>
          <w:rFonts w:ascii="Times New Roman" w:hAnsi="Times New Roman" w:cs="Times New Roman"/>
          <w:sz w:val="28"/>
          <w:szCs w:val="28"/>
        </w:rPr>
        <w:t xml:space="preserve">Таким чином, </w:t>
      </w:r>
      <w:r w:rsidRPr="00177BD4">
        <w:rPr>
          <w:rFonts w:ascii="Times New Roman" w:hAnsi="Times New Roman" w:cs="Times New Roman"/>
          <w:b/>
          <w:sz w:val="28"/>
          <w:szCs w:val="28"/>
        </w:rPr>
        <w:t xml:space="preserve">метою </w:t>
      </w:r>
      <w:r w:rsidRPr="00177BD4">
        <w:rPr>
          <w:rFonts w:ascii="Times New Roman" w:hAnsi="Times New Roman" w:cs="Times New Roman"/>
          <w:sz w:val="28"/>
          <w:szCs w:val="28"/>
        </w:rPr>
        <w:t>статті ставиться теоретичне обґрунтування доцільності, напрямів розвитку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 xml:space="preserve">посилення участі громадян в </w:t>
      </w:r>
      <w:proofErr w:type="spellStart"/>
      <w:r w:rsidRPr="00177BD4">
        <w:rPr>
          <w:rFonts w:ascii="Times New Roman" w:hAnsi="Times New Roman" w:cs="Times New Roman"/>
          <w:sz w:val="28"/>
          <w:szCs w:val="28"/>
        </w:rPr>
        <w:t>процессі</w:t>
      </w:r>
      <w:proofErr w:type="spellEnd"/>
      <w:r w:rsidRPr="00177BD4">
        <w:rPr>
          <w:rFonts w:ascii="Times New Roman" w:hAnsi="Times New Roman" w:cs="Times New Roman"/>
          <w:sz w:val="28"/>
          <w:szCs w:val="28"/>
        </w:rPr>
        <w:t xml:space="preserve"> управління держав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7BD4">
        <w:rPr>
          <w:rFonts w:ascii="Times New Roman" w:hAnsi="Times New Roman" w:cs="Times New Roman"/>
          <w:sz w:val="28"/>
          <w:szCs w:val="28"/>
        </w:rPr>
        <w:t>ю.</w:t>
      </w:r>
    </w:p>
    <w:p w:rsidR="00177BD4" w:rsidRPr="00177BD4" w:rsidRDefault="00177BD4" w:rsidP="00177B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D4">
        <w:rPr>
          <w:rFonts w:ascii="Times New Roman" w:hAnsi="Times New Roman" w:cs="Times New Roman"/>
          <w:b/>
          <w:sz w:val="28"/>
          <w:szCs w:val="28"/>
        </w:rPr>
        <w:t>Виклад основного матеріалу статті.</w:t>
      </w:r>
      <w:r w:rsidRPr="00177BD4">
        <w:rPr>
          <w:rFonts w:ascii="Times New Roman" w:hAnsi="Times New Roman" w:cs="Times New Roman"/>
          <w:sz w:val="28"/>
          <w:szCs w:val="28"/>
        </w:rPr>
        <w:t xml:space="preserve"> Підкреслимо, що принцип поширення влади органів місцевого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самоврядування є територіальний. І місцева влада має певні завдання перед громадянами, серед яких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гарантування та створення можливості доступу до послуг, які відповідають на потреби даної спільноти,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 xml:space="preserve">шляхом забезпечення реалізації основних послуг, розвитку методів </w:t>
      </w:r>
      <w:r w:rsidRPr="00177BD4">
        <w:rPr>
          <w:rFonts w:ascii="Times New Roman" w:hAnsi="Times New Roman" w:cs="Times New Roman"/>
          <w:sz w:val="28"/>
          <w:szCs w:val="28"/>
        </w:rPr>
        <w:lastRenderedPageBreak/>
        <w:t>реалізації послуг та пошуку інформації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про нові потреби, забезпечення безвідмовності діяльності системи надавання послуг. Певна традиція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 xml:space="preserve">самоврядування, зрештою </w:t>
      </w:r>
      <w:proofErr w:type="spellStart"/>
      <w:r w:rsidRPr="00177BD4">
        <w:rPr>
          <w:rFonts w:ascii="Times New Roman" w:hAnsi="Times New Roman" w:cs="Times New Roman"/>
          <w:sz w:val="28"/>
          <w:szCs w:val="28"/>
        </w:rPr>
        <w:t>правно</w:t>
      </w:r>
      <w:proofErr w:type="spellEnd"/>
      <w:r w:rsidRPr="00177BD4">
        <w:rPr>
          <w:rFonts w:ascii="Times New Roman" w:hAnsi="Times New Roman" w:cs="Times New Roman"/>
          <w:sz w:val="28"/>
          <w:szCs w:val="28"/>
        </w:rPr>
        <w:t xml:space="preserve"> обґрунтована, вказує на головні сфери, у яких локальна влада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реалізовуватиме завдання перед громадянами, тобто підтримання на відповідному рівні умов життя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громадян, розвитку громадської культурної діяльності на користь громадян та забезпечення громадського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порядку. Одним із завдань громадських організацій, поряд із їх основною діяльністю є моніторинг,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контроль за державними службами, які реалізують визначені завдання у різних сферах політичного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суспільно-економічного життя.</w:t>
      </w:r>
    </w:p>
    <w:p w:rsidR="00177BD4" w:rsidRPr="00177BD4" w:rsidRDefault="00177BD4" w:rsidP="00177B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D4">
        <w:rPr>
          <w:rFonts w:ascii="Times New Roman" w:hAnsi="Times New Roman" w:cs="Times New Roman"/>
          <w:sz w:val="28"/>
          <w:szCs w:val="28"/>
        </w:rPr>
        <w:t>Як зазначають експерти [1], передумови поглиблення та розвитку такої співпраці, передусім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місцевому рівні, в Україні пов’язані із тим, що надзвичайно великі повноваження надано органам місцевого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самоврядування, особливо у соціальній сфері. Але, одночасно, ці органи не мають достатнього фінансового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забезпечення та відповідної кількості кваліфікованих працівників відповідних місцевих служб.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Приватизація об’єктів медицини, освіти та культури законодавчо заборонена, а надання платних послуг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комунальних закладах конституційно обмежено, хоча це не звільняє місцеву владу від зобов’язань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громадою у забезпеченні відповідними медичними, освітніми та культурними послугами. Також важливою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передумовою поглиблення співпраці є прийняття нового бюджетного кодексу, згідно з яким фінансування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органів районного самоврядування здійснюватиметься без посередництва обласних органів місцевого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самоврядування [4; 5].</w:t>
      </w:r>
    </w:p>
    <w:p w:rsidR="00177BD4" w:rsidRPr="00177BD4" w:rsidRDefault="00177BD4" w:rsidP="00177B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D4">
        <w:rPr>
          <w:rFonts w:ascii="Times New Roman" w:hAnsi="Times New Roman" w:cs="Times New Roman"/>
          <w:sz w:val="28"/>
          <w:szCs w:val="28"/>
        </w:rPr>
        <w:t>Громадські організації є серйозним партнером у визначенні стратегій локального розвитку, зокрема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розвитку міст, районів тощо. Кожне місто, район повинні мати стратегічний план розвиту, що враховував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би інтереси членів громади. Залучення громадських організацій є надзвичайно важливим як на етапі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стратегічного планування, так і в процесі реалізації вироблених програм, адже для того, щоб певна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програма чи проект були адекватної до реальної ситуації, слід врахувати інтереси представників усіх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 xml:space="preserve">сегментів громади та забезпечити механізми участі громадян в їх обговоренні, реалізації та </w:t>
      </w:r>
      <w:r w:rsidRPr="00177BD4">
        <w:rPr>
          <w:rFonts w:ascii="Times New Roman" w:hAnsi="Times New Roman" w:cs="Times New Roman"/>
          <w:sz w:val="28"/>
          <w:szCs w:val="28"/>
        </w:rPr>
        <w:lastRenderedPageBreak/>
        <w:t>моніторингу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виконання.</w:t>
      </w:r>
      <w:r>
        <w:rPr>
          <w:rFonts w:ascii="Times New Roman" w:hAnsi="Times New Roman" w:cs="Times New Roman"/>
          <w:sz w:val="28"/>
          <w:szCs w:val="28"/>
        </w:rPr>
        <w:t xml:space="preserve"> Щ</w:t>
      </w:r>
      <w:r w:rsidRPr="00177BD4">
        <w:rPr>
          <w:rFonts w:ascii="Times New Roman" w:hAnsi="Times New Roman" w:cs="Times New Roman"/>
          <w:sz w:val="28"/>
          <w:szCs w:val="28"/>
        </w:rPr>
        <w:t>об стати дієвим механізмом використання позитивного потенціалу економічної та політичної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активності в місті, зазначає Соскін [6, с.37], стратегічний план його розвитку повинен складатися з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пріоритетних програм: розбудова інфраструктури міста, забезпечення зайнятості населення, поліпшення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рівня комунальних послуг, стимулювання ділової активності, містобудування, раціонального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ефективного використання землі, кадрового забезпечення (підготовки та перепідготовки кадрів) та ін. Тобто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подібні програми мають бути розробленими в результаті тісної взаємодії та конструктивного діалогу всіх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секторів економіко-господарського комплексу і різних гілок влади.</w:t>
      </w:r>
    </w:p>
    <w:p w:rsidR="00177BD4" w:rsidRPr="00177BD4" w:rsidRDefault="00177BD4" w:rsidP="00177B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D4">
        <w:rPr>
          <w:rFonts w:ascii="Times New Roman" w:hAnsi="Times New Roman" w:cs="Times New Roman"/>
          <w:sz w:val="28"/>
          <w:szCs w:val="28"/>
        </w:rPr>
        <w:t>Аналізуючи досвід співпраці органів місцевої влади та неурядових організацій, дослідники виділяють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такі організаційні форми співпраці (під поняттям форма співпраці розуміються підрозділи чи окремі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працівники органів, на яких покладено обов’язки взаємодії з організаціями третинного сектора, а також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різноманітні ради, комітети та ін., учасниками яких є представники двох зазначених сторін), що можуть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бути використанні на рівні місцевого самоврядування [3]:</w:t>
      </w:r>
    </w:p>
    <w:p w:rsidR="00177BD4" w:rsidRPr="00177BD4" w:rsidRDefault="00177BD4" w:rsidP="00177B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D4">
        <w:rPr>
          <w:rFonts w:ascii="Times New Roman" w:hAnsi="Times New Roman" w:cs="Times New Roman"/>
          <w:sz w:val="28"/>
          <w:szCs w:val="28"/>
        </w:rPr>
        <w:t>1. "Галузеві" підрозділи, що здійснюючи підготовку та реалізацію програм, проектів та заходів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профільних сферах (соціальний захист населення, освіта, культура тощо), мають взаємодіяти 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громадськими організаціями, що працюють у відповідному напрямі, здійснювати розміщення серед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соціального замовлення. Має сенс, зазначають дослідники [2], передбачити і прописати обов’язки 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такої взаємодії в документах, які регламентують діяльність галузевих підрозділів органів державної влади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та місцевого самоуправління.</w:t>
      </w:r>
    </w:p>
    <w:p w:rsidR="00177BD4" w:rsidRPr="00177BD4" w:rsidRDefault="00177BD4" w:rsidP="00177B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D4">
        <w:rPr>
          <w:rFonts w:ascii="Times New Roman" w:hAnsi="Times New Roman" w:cs="Times New Roman"/>
          <w:sz w:val="28"/>
          <w:szCs w:val="28"/>
        </w:rPr>
        <w:t>2. Спеціально орієнтовані на громадські організації підрозділи державних та муніципальних органів,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основним завданням яких є налагодження конструктивної співпраці органів державної влади та місцевого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самоуправління з неурядовими організаціями. Такі підрозділи можуть стати лобістами інтересів третинного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сектора, ініціюючи підготовку та прийняття спеціальних законодавчих та нормативних актів (наприклад,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законів про благодійну діяльність у відповідному регіоні, соціальне замовлення), відстоюючи інтереси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lastRenderedPageBreak/>
        <w:t>незалежних некомерційних організацій під час вирішення питань оподаткування, розробки й реалізації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державних та муніципальних програм, проектів і т.п.</w:t>
      </w:r>
    </w:p>
    <w:p w:rsidR="00177BD4" w:rsidRPr="00177BD4" w:rsidRDefault="00177BD4" w:rsidP="00177B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D4">
        <w:rPr>
          <w:rFonts w:ascii="Times New Roman" w:hAnsi="Times New Roman" w:cs="Times New Roman"/>
          <w:sz w:val="28"/>
          <w:szCs w:val="28"/>
        </w:rPr>
        <w:t>Інші автори вважають [6], що склад та характер організаційних форм другого типу залежать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 xml:space="preserve">кількості та різноманітності організацій третинного сектора в регіоні, що </w:t>
      </w:r>
      <w:r>
        <w:rPr>
          <w:rFonts w:ascii="Times New Roman" w:hAnsi="Times New Roman" w:cs="Times New Roman"/>
          <w:sz w:val="28"/>
          <w:szCs w:val="28"/>
        </w:rPr>
        <w:t xml:space="preserve">визначається його масштабами та </w:t>
      </w:r>
      <w:r w:rsidRPr="00177BD4">
        <w:rPr>
          <w:rFonts w:ascii="Times New Roman" w:hAnsi="Times New Roman" w:cs="Times New Roman"/>
          <w:sz w:val="28"/>
          <w:szCs w:val="28"/>
        </w:rPr>
        <w:t>економічним потенціалом. Тобто із збільшенням кількості та різноманітності складу діючих на певній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території громадських організацій ускладнюються і організаційні форми їх взаємодії з відповідними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державними та муніципальними органами.</w:t>
      </w:r>
    </w:p>
    <w:p w:rsidR="00177BD4" w:rsidRPr="00177BD4" w:rsidRDefault="00177BD4" w:rsidP="00177B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D4">
        <w:rPr>
          <w:rFonts w:ascii="Times New Roman" w:hAnsi="Times New Roman" w:cs="Times New Roman"/>
          <w:sz w:val="28"/>
          <w:szCs w:val="28"/>
        </w:rPr>
        <w:t>Із збільшенням кількості та різноманітності громадських організацій на території певного регіону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відбуваються відповідні перетворення:</w:t>
      </w:r>
    </w:p>
    <w:p w:rsidR="00177BD4" w:rsidRPr="00177BD4" w:rsidRDefault="00177BD4" w:rsidP="00177B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D4">
        <w:rPr>
          <w:rFonts w:ascii="Times New Roman" w:hAnsi="Times New Roman" w:cs="Times New Roman"/>
          <w:sz w:val="28"/>
          <w:szCs w:val="28"/>
        </w:rPr>
        <w:t>зростає роль галузевих форм організації взаємодії державних та муніципальних органів із третинним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сектором</w:t>
      </w:r>
    </w:p>
    <w:p w:rsidR="00177BD4" w:rsidRPr="00177BD4" w:rsidRDefault="00177BD4" w:rsidP="00177B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D4">
        <w:rPr>
          <w:rFonts w:ascii="Times New Roman" w:hAnsi="Times New Roman" w:cs="Times New Roman"/>
          <w:sz w:val="28"/>
          <w:szCs w:val="28"/>
        </w:rPr>
        <w:t>загальні форми, тобто такі, що охоплюють усі громадські організації району або всі організації,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займаються певним видом діяльності, змінюються на представницькі форми, тобто такі, учасниками якої 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представники третинного сектору або ж галузевої групи організацій.</w:t>
      </w:r>
    </w:p>
    <w:p w:rsidR="00177BD4" w:rsidRPr="00177BD4" w:rsidRDefault="00177BD4" w:rsidP="00177B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D4">
        <w:rPr>
          <w:rFonts w:ascii="Times New Roman" w:hAnsi="Times New Roman" w:cs="Times New Roman"/>
          <w:sz w:val="28"/>
          <w:szCs w:val="28"/>
        </w:rPr>
        <w:t>постійні форми доповнюються радами, слуханнями, що скликаються за необхідністю для розгляду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визначених питань спільного інтересу.</w:t>
      </w:r>
    </w:p>
    <w:p w:rsidR="00177BD4" w:rsidRPr="00177BD4" w:rsidRDefault="00177BD4" w:rsidP="00177B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D4">
        <w:rPr>
          <w:rFonts w:ascii="Times New Roman" w:hAnsi="Times New Roman" w:cs="Times New Roman"/>
          <w:sz w:val="28"/>
          <w:szCs w:val="28"/>
        </w:rPr>
        <w:t>Завданням таких організаційних форм можуть бути:</w:t>
      </w:r>
    </w:p>
    <w:p w:rsidR="00177BD4" w:rsidRPr="00177BD4" w:rsidRDefault="00177BD4" w:rsidP="00177B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BD4">
        <w:rPr>
          <w:rFonts w:ascii="Times New Roman" w:hAnsi="Times New Roman" w:cs="Times New Roman"/>
          <w:sz w:val="28"/>
          <w:szCs w:val="28"/>
        </w:rPr>
        <w:t>взаємоінформування</w:t>
      </w:r>
      <w:proofErr w:type="spellEnd"/>
      <w:r w:rsidRPr="00177BD4">
        <w:rPr>
          <w:rFonts w:ascii="Times New Roman" w:hAnsi="Times New Roman" w:cs="Times New Roman"/>
          <w:sz w:val="28"/>
          <w:szCs w:val="28"/>
        </w:rPr>
        <w:t xml:space="preserve"> органів державної влади чи місцевого самоврядування та організацій третього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сектору про основні напрями соціально-економічної політики регіону та діяльності цих організацій;</w:t>
      </w:r>
    </w:p>
    <w:p w:rsidR="00177BD4" w:rsidRPr="00177BD4" w:rsidRDefault="00177BD4" w:rsidP="00177B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D4">
        <w:rPr>
          <w:rFonts w:ascii="Times New Roman" w:hAnsi="Times New Roman" w:cs="Times New Roman"/>
          <w:sz w:val="28"/>
          <w:szCs w:val="28"/>
        </w:rPr>
        <w:t>розгляд та обговорення проектів відповідних законів та інших нормативно-правових актів, пропозицій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щодо внесення змін до чинної законодавчої бази, в тому числі і такі, що були підготовлені громадськими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організаціями;</w:t>
      </w:r>
    </w:p>
    <w:p w:rsidR="00177BD4" w:rsidRPr="00177BD4" w:rsidRDefault="00177BD4" w:rsidP="00177B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D4">
        <w:rPr>
          <w:rFonts w:ascii="Times New Roman" w:hAnsi="Times New Roman" w:cs="Times New Roman"/>
          <w:sz w:val="28"/>
          <w:szCs w:val="28"/>
        </w:rPr>
        <w:t>обговорення і обґрунтування фінансової підтримки третинного сектора органами державної влади та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місцевого самоврядування, механізмів її здійснення (умов, порядку проведення конкурсів на отримання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субсидій);</w:t>
      </w:r>
    </w:p>
    <w:p w:rsidR="00177BD4" w:rsidRPr="00177BD4" w:rsidRDefault="00177BD4" w:rsidP="00177B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D4">
        <w:rPr>
          <w:rFonts w:ascii="Times New Roman" w:hAnsi="Times New Roman" w:cs="Times New Roman"/>
          <w:sz w:val="28"/>
          <w:szCs w:val="28"/>
        </w:rPr>
        <w:t>розгляд та обговорення проектів державних та муніципальних програм, механізмів залучення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 xml:space="preserve">незалежних некомерційних організацій до їх розробки та </w:t>
      </w:r>
      <w:r w:rsidRPr="00177BD4">
        <w:rPr>
          <w:rFonts w:ascii="Times New Roman" w:hAnsi="Times New Roman" w:cs="Times New Roman"/>
          <w:sz w:val="28"/>
          <w:szCs w:val="28"/>
        </w:rPr>
        <w:lastRenderedPageBreak/>
        <w:t>реалізації (умов, порядку проведення конкурсів на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розміщення соціального замовлення, фінансування програм та проектів громадських організацій) і участь в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організації та проведенні конкурсів;</w:t>
      </w:r>
    </w:p>
    <w:p w:rsidR="00177BD4" w:rsidRPr="00177BD4" w:rsidRDefault="00177BD4" w:rsidP="00177B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D4">
        <w:rPr>
          <w:rFonts w:ascii="Times New Roman" w:hAnsi="Times New Roman" w:cs="Times New Roman"/>
          <w:sz w:val="28"/>
          <w:szCs w:val="28"/>
        </w:rPr>
        <w:t>аналіз результатів діяльності організацій третинного сектору в розробці та реалізації різноманітних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соціальних програм;</w:t>
      </w:r>
    </w:p>
    <w:p w:rsidR="00177BD4" w:rsidRPr="00177BD4" w:rsidRDefault="00177BD4" w:rsidP="00177B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D4">
        <w:rPr>
          <w:rFonts w:ascii="Times New Roman" w:hAnsi="Times New Roman" w:cs="Times New Roman"/>
          <w:sz w:val="28"/>
          <w:szCs w:val="28"/>
        </w:rPr>
        <w:t>дослідження і оцінка актуальних проблем функціонування та розвитку третинного сектору в регіоні,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взаємодії держави та муніципальних органів із незалежними некомерційними організаціями й інші подібні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завдання.</w:t>
      </w:r>
    </w:p>
    <w:p w:rsidR="00177BD4" w:rsidRPr="00177BD4" w:rsidRDefault="00177BD4" w:rsidP="00177B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D4">
        <w:rPr>
          <w:rFonts w:ascii="Times New Roman" w:hAnsi="Times New Roman" w:cs="Times New Roman"/>
          <w:sz w:val="28"/>
          <w:szCs w:val="28"/>
        </w:rPr>
        <w:t>В цілому можна відмітити низку переваг для органів місцевого самоврядування відносно залучення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громадян, оскільки місцеве самоврядування зацікавлене отримати інформацію від громад-клієнтів, щоб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надати бажані для них послуги на потрібному рівні. Під залученням, в цьому випадку, пропонується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розуміти засіб, за допомогою якого можна не тільки почути думку громадян, а й надати їм можливість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впливати на прийняття рішення. Залучення громадськості не гарантує, що будь-яке рішення буде прийняте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в результаті консенсусу, але відкритість процесу прийняття рішень і можливість для громадян висловити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власну думку та вплинути на результати додає легітимності прийнятим рішенням та позитивно впливає на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розвиток громадянської свідомості. Розуміння, що місцева влада погоджується на певні компроміси, часто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спричиняє появу нових партнерських зв’язків та підвищує рівень самостійності, тобто групи громадян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починають самостійно працювати для вирішення своїх проблем.</w:t>
      </w:r>
    </w:p>
    <w:p w:rsidR="00177BD4" w:rsidRPr="00177BD4" w:rsidRDefault="00177BD4" w:rsidP="00177B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D4">
        <w:rPr>
          <w:rFonts w:ascii="Times New Roman" w:hAnsi="Times New Roman" w:cs="Times New Roman"/>
          <w:sz w:val="28"/>
          <w:szCs w:val="28"/>
        </w:rPr>
        <w:t>Залучення громадян особливо важливе для рішень, які:</w:t>
      </w:r>
    </w:p>
    <w:p w:rsidR="00177BD4" w:rsidRPr="00177BD4" w:rsidRDefault="00177BD4" w:rsidP="00177B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D4">
        <w:rPr>
          <w:rFonts w:ascii="Times New Roman" w:hAnsi="Times New Roman" w:cs="Times New Roman"/>
          <w:sz w:val="28"/>
          <w:szCs w:val="28"/>
        </w:rPr>
        <w:t>значно впливатимуть на громаду. Завжди, коли людина чи група людей в громаді вважають, що щось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можна втратити чи набути через рішення органу місцевого самоврядування, воно стає важливим для них;</w:t>
      </w:r>
    </w:p>
    <w:p w:rsidR="00177BD4" w:rsidRPr="00177BD4" w:rsidRDefault="00177BD4" w:rsidP="00177B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D4">
        <w:rPr>
          <w:rFonts w:ascii="Times New Roman" w:hAnsi="Times New Roman" w:cs="Times New Roman"/>
          <w:sz w:val="28"/>
          <w:szCs w:val="28"/>
        </w:rPr>
        <w:t>позначаться на деяких громадянах більше за інших. В даному випадку метою залучення громадян є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уникнення конфліктів;</w:t>
      </w:r>
    </w:p>
    <w:p w:rsidR="00177BD4" w:rsidRPr="00177BD4" w:rsidRDefault="00177BD4" w:rsidP="00177B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D4">
        <w:rPr>
          <w:rFonts w:ascii="Times New Roman" w:hAnsi="Times New Roman" w:cs="Times New Roman"/>
          <w:sz w:val="28"/>
          <w:szCs w:val="28"/>
        </w:rPr>
        <w:t>вплинуть на певні інтереси. Залучення громадян до прийняття рішень, передусім тих, на чиї інтереси це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рішення вплине найбільше.</w:t>
      </w:r>
    </w:p>
    <w:p w:rsidR="00177BD4" w:rsidRPr="00177BD4" w:rsidRDefault="00177BD4" w:rsidP="00177B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D4">
        <w:rPr>
          <w:rFonts w:ascii="Times New Roman" w:hAnsi="Times New Roman" w:cs="Times New Roman"/>
          <w:sz w:val="28"/>
          <w:szCs w:val="28"/>
        </w:rPr>
        <w:lastRenderedPageBreak/>
        <w:t>Існує два рівні залучення громадськості до роботи органів місцевого самоврядування. Перший –</w:t>
      </w:r>
    </w:p>
    <w:p w:rsidR="00177BD4" w:rsidRPr="00177BD4" w:rsidRDefault="00177BD4" w:rsidP="00177B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D4">
        <w:rPr>
          <w:rFonts w:ascii="Times New Roman" w:hAnsi="Times New Roman" w:cs="Times New Roman"/>
          <w:sz w:val="28"/>
          <w:szCs w:val="28"/>
        </w:rPr>
        <w:t>налагодження ефективного механізму обміну інформацією між членами громади та органом місцевого</w:t>
      </w:r>
    </w:p>
    <w:p w:rsidR="00177BD4" w:rsidRPr="00177BD4" w:rsidRDefault="00177BD4" w:rsidP="00177B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D4">
        <w:rPr>
          <w:rFonts w:ascii="Times New Roman" w:hAnsi="Times New Roman" w:cs="Times New Roman"/>
          <w:sz w:val="28"/>
          <w:szCs w:val="28"/>
        </w:rPr>
        <w:t>самоврядування, і другий – залучення громадян до прийняття рішень та розв’язання проблем.</w:t>
      </w:r>
    </w:p>
    <w:p w:rsidR="00177BD4" w:rsidRPr="00177BD4" w:rsidRDefault="00177BD4" w:rsidP="00177B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D4">
        <w:rPr>
          <w:rFonts w:ascii="Times New Roman" w:hAnsi="Times New Roman" w:cs="Times New Roman"/>
          <w:sz w:val="28"/>
          <w:szCs w:val="28"/>
        </w:rPr>
        <w:t>Перший рівень є потрібним, оскільки розвиток економіки і суспільства унеможливлюється без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освіченого населення. Надання точної і вчасної інформації є важливим елементом демократичного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суспільства. Перший крок до громадянської свідомості є адекватним і вчасним інформуванням населення.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Одночасно орган місцевого самоврядування зацікавлений в отриманні інформації від громади про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проблеми, які виникають, про суспільну думку, реакцію на політику та програми, впроваджувані органом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місцевого самоуправління. Тому обраним урядовцям особливо необхідно поширювати інформацію про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муніципальні послуги та збирати від громадян інформацію про проблеми та потреби громади. Для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широкого інформування і спілкування з громадянами місцеве самоврядування повинно користуватися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перевагами усіх засобів масової комунікації.</w:t>
      </w:r>
    </w:p>
    <w:p w:rsidR="00177BD4" w:rsidRPr="00177BD4" w:rsidRDefault="00177BD4" w:rsidP="00177B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D4">
        <w:rPr>
          <w:rFonts w:ascii="Times New Roman" w:hAnsi="Times New Roman" w:cs="Times New Roman"/>
          <w:sz w:val="28"/>
          <w:szCs w:val="28"/>
        </w:rPr>
        <w:t>Розглянемо зворотній процес, тобто отримання інформації від громадян. Часто основою залучення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громадськості вважають засідання громадських комітетів і громадські слухання, але вони не можуть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виступати в ролі єдиного механізму участі громадян, оскільки такі засідання та слухання як правило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відвідуються невеликою кількістю людей, і без інших механізмів забезпечення участі громадян неможливо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встановити, виразниками якої точки зору є присутні на засіданні (точки зору цілої громади чи певної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активної меншості). До того ж формат засідання, куди залучено велику кі</w:t>
      </w:r>
      <w:r w:rsidR="00A03969">
        <w:rPr>
          <w:rFonts w:ascii="Times New Roman" w:hAnsi="Times New Roman" w:cs="Times New Roman"/>
          <w:sz w:val="28"/>
          <w:szCs w:val="28"/>
        </w:rPr>
        <w:t xml:space="preserve">лькість людей, що є виразниками </w:t>
      </w:r>
      <w:r w:rsidRPr="00177BD4">
        <w:rPr>
          <w:rFonts w:ascii="Times New Roman" w:hAnsi="Times New Roman" w:cs="Times New Roman"/>
          <w:sz w:val="28"/>
          <w:szCs w:val="28"/>
        </w:rPr>
        <w:t>різних поглядів на проблему, дозволяє проаналізувати стан справ, сформувати адекватне уявлення того, що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відбувається, окреслити проблемні області, але не зовсім підходить для розв’язання проблеми, визначення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завдань, планування конкретних практичних кроків. Тому доповнюючи загальні засідання, призначені для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 xml:space="preserve">цілої громади, місцева влада може провести низку </w:t>
      </w:r>
      <w:r w:rsidRPr="00177BD4">
        <w:rPr>
          <w:rFonts w:ascii="Times New Roman" w:hAnsi="Times New Roman" w:cs="Times New Roman"/>
          <w:sz w:val="28"/>
          <w:szCs w:val="28"/>
        </w:rPr>
        <w:lastRenderedPageBreak/>
        <w:t>зустрічей із невеликими групами громадян. На таких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заходах може одержати слово більша кількість людей. Важливо також, аби громадяни знали, що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робитимуть з тією інформацією, яку вони надали. Посадовці органів влади мають своєчасно звертатися до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громадян із повідомленнями, що саме було почуто від громадян, якою буде реакція на почуте, і який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результат воно надасть опрацюванню певного питання. Адже основним мотивом, який спонукатиме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громадян до участі, є сподівання вплинути на результат. Для визначення ступеню адекватності думки,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висловленої під час громадського слухання, реальній позиції громадян (адже жодні засідання не залучать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усіх громадян до обговорення) можуть застосовуватися така форма збору інформації як письмова анкета,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розіслана усім членам даної громади, чи опитування громадської думки, здійсненні за довільною вибіркою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опитуваних. Однак, анкетування та опитування громадської думки не є універсальним інструментарієм і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можуть бути використаними швидше для збору кількісних, а не якісних даних</w:t>
      </w:r>
      <w:r w:rsidR="00A03969">
        <w:rPr>
          <w:rFonts w:ascii="Times New Roman" w:hAnsi="Times New Roman" w:cs="Times New Roman"/>
          <w:sz w:val="28"/>
          <w:szCs w:val="28"/>
        </w:rPr>
        <w:t>.</w:t>
      </w:r>
    </w:p>
    <w:p w:rsidR="00177BD4" w:rsidRPr="00177BD4" w:rsidRDefault="00177BD4" w:rsidP="00177B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D4">
        <w:rPr>
          <w:rFonts w:ascii="Times New Roman" w:hAnsi="Times New Roman" w:cs="Times New Roman"/>
          <w:sz w:val="28"/>
          <w:szCs w:val="28"/>
        </w:rPr>
        <w:t>Другим рівнем є залучення громадян до прийняття рішень та розв’язання проблем. Одним із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поширених методів такого залучення є робота через консультативні ради чи цільові групи. Консультативні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ради є новим явищем для країн Східної Європи. Вони знайшли широке застосування у Словаччині та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Польщі, особливо в роботі над питаннями, що пов’язані з економічним розвитком. В Угорщині перша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консультативна рада створена в 1997 році з метою пошуку місця для муніципального звалища відходів [6].</w:t>
      </w:r>
    </w:p>
    <w:p w:rsidR="00177BD4" w:rsidRPr="00177BD4" w:rsidRDefault="00177BD4" w:rsidP="00177B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D4">
        <w:rPr>
          <w:rFonts w:ascii="Times New Roman" w:hAnsi="Times New Roman" w:cs="Times New Roman"/>
          <w:sz w:val="28"/>
          <w:szCs w:val="28"/>
        </w:rPr>
        <w:t>Громадським консультативним групам може бути доручено виконання багатьох завдань: аналіз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комплексних заходів та їхнього виконання (таких, як бюджетна робота), розробка і надання рекомендації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місцевій раді, інформування громади про нову послугу або зміну тієї, що вже існує, аналіз планів розвитку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чи допомога у планування економічного розвитку – а завдяки, і першому, й другому забезпечення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відповідності планів прагненням громадян. Громадським групам під силу й вироблення пропозицій щодо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того, як потрібно надавати нову послугу чи як побудувати новий нормотворчий документ. Цільова група є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 xml:space="preserve">окремим різновидом консультативної групи. Здебільшого </w:t>
      </w:r>
      <w:r w:rsidRPr="00177BD4">
        <w:rPr>
          <w:rFonts w:ascii="Times New Roman" w:hAnsi="Times New Roman" w:cs="Times New Roman"/>
          <w:sz w:val="28"/>
          <w:szCs w:val="28"/>
        </w:rPr>
        <w:lastRenderedPageBreak/>
        <w:t>консультативні групи створюються на весь час,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упродовж процесу вироблення рішення. А цільова група зазвичай виконує своє конкретне завдання й після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цього припинає існування. Завдяки консультативним та цільовим громадським групам можна віднаходити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новаторські й практичні рішення з багатьох питань стосовно життя громади. Такі групи є вагомими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помічниками органам місцевого самоврядування. Дієві консультативні ради формуються з громадян, що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виражають широкий спектр позицій, та представників різних прошарків населення. Подібно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консультативним радам, цільові групи можуть скликатися для збирання більшої кількості інформації з того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чи іншого питання або детальнішого вивчення певної проблеми. Для формування особового складу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цільових груп може бути максимально застосовано принцип довільного добору кандидатів з представників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кожного суспільного прошарку, що надасть змогу уявлення про думку всіх таких прошарків, або інший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підхід – членами цільової групи стають ті громадяни, що, як вважається, здатні найкраще зрозуміти суть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рішення, чи громадяни, на яких це рішення найбільше позначиться. Основне, в чому полягає цінність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цільової групи, – не в можливості встановлювати, яка кількість людей дотримується тієї чи іншої думки, а в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можливості передбачати емоційну реакцію. Окрім усього, цільові групи можуть бути інструментом,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використовуваним для виконання специфічного завдання, для класифікації проблем громади за рівнем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їхньої пріоритетності чи для оцінки альтернативних варіантів розміщення громадських організацій.</w:t>
      </w:r>
    </w:p>
    <w:p w:rsidR="00177BD4" w:rsidRPr="00177BD4" w:rsidRDefault="00177BD4" w:rsidP="00177B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969">
        <w:rPr>
          <w:rFonts w:ascii="Times New Roman" w:hAnsi="Times New Roman" w:cs="Times New Roman"/>
          <w:b/>
          <w:sz w:val="28"/>
          <w:szCs w:val="28"/>
        </w:rPr>
        <w:t>Висновки.</w:t>
      </w:r>
      <w:r w:rsidRPr="00177BD4">
        <w:rPr>
          <w:rFonts w:ascii="Times New Roman" w:hAnsi="Times New Roman" w:cs="Times New Roman"/>
          <w:sz w:val="28"/>
          <w:szCs w:val="28"/>
        </w:rPr>
        <w:t xml:space="preserve"> Дослідження довело, що в Україні спостерігається позитивна тенденція до налагодження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співробітництва між державним та громадським сектором, зокрема, з питань спільного формування та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розвитку державної політики на місцевому рівні, де напрацьовано конкретні способи, форми, механізми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співпраці та залучення громадян як на стадії обговорення певної проблеми, вироблення спільної програми,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так і на стадії її втілення. Однак, громадські організації можуть впливати на формування та розвиток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державної політики передусім на місцевому рівні, на національному ж основними гравцями залишаються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впливові політичні та бізнесові структури. Одночасно, абсолютна більшість українських громадських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організацій є регіональними.</w:t>
      </w:r>
    </w:p>
    <w:p w:rsidR="00177BD4" w:rsidRPr="00177BD4" w:rsidRDefault="00177BD4" w:rsidP="00177B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D4">
        <w:rPr>
          <w:rFonts w:ascii="Times New Roman" w:hAnsi="Times New Roman" w:cs="Times New Roman"/>
          <w:sz w:val="28"/>
          <w:szCs w:val="28"/>
        </w:rPr>
        <w:lastRenderedPageBreak/>
        <w:t>Подальші дослідження в цій області автор планує присвятити розробці відповідного інструментарію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поглиблення співпраці громадян і органів державної влади, яка має за мету підвищення ефективності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управління державою на підставі залучення населення до процесу прийняття рішень.</w:t>
      </w:r>
    </w:p>
    <w:p w:rsidR="00177BD4" w:rsidRPr="00177BD4" w:rsidRDefault="00177BD4" w:rsidP="00177B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D4">
        <w:rPr>
          <w:rFonts w:ascii="Times New Roman" w:hAnsi="Times New Roman" w:cs="Times New Roman"/>
          <w:sz w:val="28"/>
          <w:szCs w:val="28"/>
        </w:rPr>
        <w:t>Джерела та література:</w:t>
      </w:r>
    </w:p>
    <w:p w:rsidR="00177BD4" w:rsidRPr="00177BD4" w:rsidRDefault="00177BD4" w:rsidP="00177B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D4">
        <w:rPr>
          <w:rFonts w:ascii="Times New Roman" w:hAnsi="Times New Roman" w:cs="Times New Roman"/>
          <w:sz w:val="28"/>
          <w:szCs w:val="28"/>
        </w:rPr>
        <w:t xml:space="preserve">1. Розвиток громадянського суспільства в Україні / уклад.: Я. </w:t>
      </w:r>
      <w:proofErr w:type="spellStart"/>
      <w:r w:rsidRPr="00177BD4">
        <w:rPr>
          <w:rFonts w:ascii="Times New Roman" w:hAnsi="Times New Roman" w:cs="Times New Roman"/>
          <w:sz w:val="28"/>
          <w:szCs w:val="28"/>
        </w:rPr>
        <w:t>Шара</w:t>
      </w:r>
      <w:proofErr w:type="spellEnd"/>
      <w:r w:rsidRPr="00177BD4">
        <w:rPr>
          <w:rFonts w:ascii="Times New Roman" w:hAnsi="Times New Roman" w:cs="Times New Roman"/>
          <w:sz w:val="28"/>
          <w:szCs w:val="28"/>
        </w:rPr>
        <w:t xml:space="preserve">, І. </w:t>
      </w:r>
      <w:proofErr w:type="spellStart"/>
      <w:r w:rsidRPr="00177BD4">
        <w:rPr>
          <w:rFonts w:ascii="Times New Roman" w:hAnsi="Times New Roman" w:cs="Times New Roman"/>
          <w:sz w:val="28"/>
          <w:szCs w:val="28"/>
        </w:rPr>
        <w:t>Підлуська</w:t>
      </w:r>
      <w:proofErr w:type="spellEnd"/>
      <w:r w:rsidRPr="00177BD4">
        <w:rPr>
          <w:rFonts w:ascii="Times New Roman" w:hAnsi="Times New Roman" w:cs="Times New Roman"/>
          <w:sz w:val="28"/>
          <w:szCs w:val="28"/>
        </w:rPr>
        <w:t xml:space="preserve"> та ін. – К., 2002 – 59 с.</w:t>
      </w:r>
    </w:p>
    <w:p w:rsidR="00177BD4" w:rsidRPr="00177BD4" w:rsidRDefault="00177BD4" w:rsidP="00177B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D4">
        <w:rPr>
          <w:rFonts w:ascii="Times New Roman" w:hAnsi="Times New Roman" w:cs="Times New Roman"/>
          <w:sz w:val="28"/>
          <w:szCs w:val="28"/>
        </w:rPr>
        <w:t xml:space="preserve">2. Кравчук В. Громадські </w:t>
      </w:r>
      <w:proofErr w:type="spellStart"/>
      <w:r w:rsidRPr="00177BD4">
        <w:rPr>
          <w:rFonts w:ascii="Times New Roman" w:hAnsi="Times New Roman" w:cs="Times New Roman"/>
          <w:sz w:val="28"/>
          <w:szCs w:val="28"/>
        </w:rPr>
        <w:t>організаціі</w:t>
      </w:r>
      <w:proofErr w:type="spellEnd"/>
      <w:r w:rsidRPr="00177BD4">
        <w:rPr>
          <w:rFonts w:ascii="Times New Roman" w:hAnsi="Times New Roman" w:cs="Times New Roman"/>
          <w:sz w:val="28"/>
          <w:szCs w:val="28"/>
        </w:rPr>
        <w:t xml:space="preserve"> в громадянському суспільстві / В. Кравчук // Підприємництво,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держава та право. – 2003. – № 9.</w:t>
      </w:r>
    </w:p>
    <w:p w:rsidR="00177BD4" w:rsidRPr="00177BD4" w:rsidRDefault="00177BD4" w:rsidP="00177B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D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77BD4">
        <w:rPr>
          <w:rFonts w:ascii="Times New Roman" w:hAnsi="Times New Roman" w:cs="Times New Roman"/>
          <w:sz w:val="28"/>
          <w:szCs w:val="28"/>
        </w:rPr>
        <w:t>Цимбалюк</w:t>
      </w:r>
      <w:proofErr w:type="spellEnd"/>
      <w:r w:rsidRPr="00177BD4">
        <w:rPr>
          <w:rFonts w:ascii="Times New Roman" w:hAnsi="Times New Roman" w:cs="Times New Roman"/>
          <w:sz w:val="28"/>
          <w:szCs w:val="28"/>
        </w:rPr>
        <w:t xml:space="preserve"> М. Особистість як головна умова існування громадянського суспільства / М. </w:t>
      </w:r>
      <w:proofErr w:type="spellStart"/>
      <w:r w:rsidRPr="00177BD4">
        <w:rPr>
          <w:rFonts w:ascii="Times New Roman" w:hAnsi="Times New Roman" w:cs="Times New Roman"/>
          <w:sz w:val="28"/>
          <w:szCs w:val="28"/>
        </w:rPr>
        <w:t>Цимбалюк</w:t>
      </w:r>
      <w:proofErr w:type="spellEnd"/>
      <w:r w:rsidRPr="00177BD4">
        <w:rPr>
          <w:rFonts w:ascii="Times New Roman" w:hAnsi="Times New Roman" w:cs="Times New Roman"/>
          <w:sz w:val="28"/>
          <w:szCs w:val="28"/>
        </w:rPr>
        <w:t xml:space="preserve"> //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Підприємництво, держава та право. – 2004. – № 2.</w:t>
      </w:r>
    </w:p>
    <w:p w:rsidR="00177BD4" w:rsidRPr="00177BD4" w:rsidRDefault="00177BD4" w:rsidP="00177B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D4">
        <w:rPr>
          <w:rFonts w:ascii="Times New Roman" w:hAnsi="Times New Roman" w:cs="Times New Roman"/>
          <w:sz w:val="28"/>
          <w:szCs w:val="28"/>
        </w:rPr>
        <w:t>4. Бюджетний Кодекс України // Відомості Верховної Ради України (ВВР). – 2010. – № 50-51. – Ст. 572.</w:t>
      </w:r>
    </w:p>
    <w:p w:rsidR="00177BD4" w:rsidRPr="00177BD4" w:rsidRDefault="00177BD4" w:rsidP="00177B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D4">
        <w:rPr>
          <w:rFonts w:ascii="Times New Roman" w:hAnsi="Times New Roman" w:cs="Times New Roman"/>
          <w:sz w:val="28"/>
          <w:szCs w:val="28"/>
        </w:rPr>
        <w:t>5. Закон України «Про місцеве самоврядування» від 21.05.1997 № 280/97-ВР (Редакція станом на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r w:rsidRPr="00177BD4">
        <w:rPr>
          <w:rFonts w:ascii="Times New Roman" w:hAnsi="Times New Roman" w:cs="Times New Roman"/>
          <w:sz w:val="28"/>
          <w:szCs w:val="28"/>
        </w:rPr>
        <w:t>06.12.2012) : [Електронний ресурс]. – Режим доступу : http://zakon.nau.ua/doc/?code=280/97-%C2%D0.</w:t>
      </w:r>
    </w:p>
    <w:p w:rsidR="00685B3D" w:rsidRPr="00177BD4" w:rsidRDefault="00177BD4" w:rsidP="00177B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D4">
        <w:rPr>
          <w:rFonts w:ascii="Times New Roman" w:hAnsi="Times New Roman" w:cs="Times New Roman"/>
          <w:sz w:val="28"/>
          <w:szCs w:val="28"/>
        </w:rPr>
        <w:t>6. ЄС і місцеве самоврядування: досвід вишеградських міст та українська перспектива / за аг. ред.</w:t>
      </w:r>
      <w:r w:rsidR="00A0396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77BD4">
        <w:rPr>
          <w:rFonts w:ascii="Times New Roman" w:hAnsi="Times New Roman" w:cs="Times New Roman"/>
          <w:sz w:val="28"/>
          <w:szCs w:val="28"/>
        </w:rPr>
        <w:t>О. І. Соскіна. – К. : Вид-во "Інститут суспільної трансформації", 2008. – 56 с.</w:t>
      </w:r>
    </w:p>
    <w:sectPr w:rsidR="00685B3D" w:rsidRPr="00177B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D4"/>
    <w:rsid w:val="00177BD4"/>
    <w:rsid w:val="00685B3D"/>
    <w:rsid w:val="00A0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12905</Words>
  <Characters>7356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Портнова</dc:creator>
  <cp:lastModifiedBy>Портнова</cp:lastModifiedBy>
  <cp:revision>1</cp:revision>
  <dcterms:created xsi:type="dcterms:W3CDTF">2014-03-27T07:51:00Z</dcterms:created>
  <dcterms:modified xsi:type="dcterms:W3CDTF">2014-03-27T08:09:00Z</dcterms:modified>
</cp:coreProperties>
</file>