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526" w:rsidRPr="007E0AC1" w:rsidRDefault="00770526">
      <w:pPr>
        <w:rPr>
          <w:spacing w:val="0"/>
          <w:sz w:val="28"/>
          <w:szCs w:val="28"/>
          <w:lang w:val="uk-UA"/>
        </w:rPr>
      </w:pPr>
      <w:r w:rsidRPr="007E0AC1">
        <w:rPr>
          <w:spacing w:val="0"/>
          <w:sz w:val="28"/>
          <w:szCs w:val="28"/>
          <w:lang w:val="uk-UA"/>
        </w:rPr>
        <w:t>УД</w:t>
      </w:r>
      <w:hyperlink r:id="rId8" w:tgtFrame="Sites" w:history="1">
        <w:r w:rsidRPr="007E0AC1">
          <w:rPr>
            <w:rStyle w:val="a4"/>
            <w:color w:val="auto"/>
            <w:spacing w:val="0"/>
            <w:sz w:val="28"/>
            <w:szCs w:val="28"/>
            <w:u w:val="none"/>
            <w:lang w:val="uk-UA"/>
          </w:rPr>
          <w:t>К 339.72</w:t>
        </w:r>
      </w:hyperlink>
    </w:p>
    <w:p w:rsidR="00A06990" w:rsidRPr="007E0AC1" w:rsidRDefault="00A06990" w:rsidP="00A06990">
      <w:pPr>
        <w:jc w:val="right"/>
        <w:rPr>
          <w:spacing w:val="0"/>
          <w:sz w:val="28"/>
          <w:szCs w:val="28"/>
          <w:lang w:val="uk-UA"/>
        </w:rPr>
      </w:pPr>
      <w:r w:rsidRPr="007E0AC1">
        <w:rPr>
          <w:spacing w:val="0"/>
          <w:sz w:val="28"/>
          <w:szCs w:val="28"/>
          <w:lang w:val="uk-UA"/>
        </w:rPr>
        <w:t xml:space="preserve">Дєєва Н.Е. </w:t>
      </w:r>
    </w:p>
    <w:p w:rsidR="0094084D" w:rsidRPr="007E0AC1" w:rsidRDefault="0094084D" w:rsidP="00A06990">
      <w:pPr>
        <w:jc w:val="right"/>
        <w:rPr>
          <w:spacing w:val="0"/>
          <w:sz w:val="28"/>
          <w:szCs w:val="28"/>
          <w:lang w:val="uk-UA"/>
        </w:rPr>
      </w:pPr>
    </w:p>
    <w:p w:rsidR="0094084D" w:rsidRPr="007E0AC1" w:rsidRDefault="0094084D" w:rsidP="0094084D">
      <w:pPr>
        <w:jc w:val="center"/>
        <w:rPr>
          <w:caps/>
          <w:spacing w:val="0"/>
          <w:sz w:val="28"/>
          <w:szCs w:val="28"/>
          <w:lang w:val="uk-UA"/>
        </w:rPr>
      </w:pPr>
      <w:r w:rsidRPr="007E0AC1">
        <w:rPr>
          <w:caps/>
          <w:spacing w:val="0"/>
          <w:sz w:val="28"/>
          <w:szCs w:val="28"/>
          <w:lang w:val="uk-UA"/>
        </w:rPr>
        <w:t>Індикатори фондового ринку як віддзеркалення стану національної економіки</w:t>
      </w:r>
    </w:p>
    <w:p w:rsidR="00770526" w:rsidRPr="007E0AC1" w:rsidRDefault="00770526" w:rsidP="0094084D">
      <w:pPr>
        <w:jc w:val="center"/>
        <w:rPr>
          <w:caps/>
          <w:sz w:val="28"/>
          <w:szCs w:val="28"/>
          <w:lang w:val="uk-UA"/>
        </w:rPr>
      </w:pPr>
    </w:p>
    <w:p w:rsidR="0094084D" w:rsidRDefault="0007439F" w:rsidP="000F7D85">
      <w:pPr>
        <w:jc w:val="both"/>
        <w:rPr>
          <w:i/>
          <w:spacing w:val="0"/>
          <w:sz w:val="28"/>
          <w:szCs w:val="28"/>
          <w:lang w:val="uk-UA"/>
        </w:rPr>
      </w:pPr>
      <w:r w:rsidRPr="00A67AE8">
        <w:rPr>
          <w:i/>
          <w:spacing w:val="0"/>
          <w:sz w:val="28"/>
          <w:szCs w:val="28"/>
          <w:lang w:val="uk-UA"/>
        </w:rPr>
        <w:tab/>
      </w:r>
      <w:r w:rsidR="00E96E61" w:rsidRPr="00A67AE8">
        <w:rPr>
          <w:i/>
          <w:spacing w:val="0"/>
          <w:sz w:val="28"/>
          <w:szCs w:val="28"/>
          <w:lang w:val="uk-UA"/>
        </w:rPr>
        <w:t xml:space="preserve">Проведено порівняльну </w:t>
      </w:r>
      <w:r w:rsidR="000F7D85" w:rsidRPr="00A67AE8">
        <w:rPr>
          <w:i/>
          <w:spacing w:val="0"/>
          <w:sz w:val="28"/>
          <w:szCs w:val="28"/>
          <w:lang w:val="uk-UA"/>
        </w:rPr>
        <w:t>оцінку динаміки індексу ПФТС і пр</w:t>
      </w:r>
      <w:r w:rsidR="007E0AC1" w:rsidRPr="00A67AE8">
        <w:rPr>
          <w:i/>
          <w:spacing w:val="0"/>
          <w:sz w:val="28"/>
          <w:szCs w:val="28"/>
          <w:lang w:val="uk-UA"/>
        </w:rPr>
        <w:t>овідних світових фондових індексів</w:t>
      </w:r>
      <w:r w:rsidR="000F7D85" w:rsidRPr="00A67AE8">
        <w:rPr>
          <w:i/>
          <w:spacing w:val="0"/>
          <w:sz w:val="28"/>
          <w:szCs w:val="28"/>
          <w:lang w:val="uk-UA"/>
        </w:rPr>
        <w:t>, а також індикаторів вітчизняного фондового ринку, наданих зарубіжними агенціями. Проаналізовано б</w:t>
      </w:r>
      <w:r w:rsidR="00E96E61" w:rsidRPr="00A67AE8">
        <w:rPr>
          <w:i/>
          <w:spacing w:val="0"/>
          <w:sz w:val="28"/>
          <w:szCs w:val="28"/>
          <w:lang w:val="uk-UA"/>
        </w:rPr>
        <w:t>азисні</w:t>
      </w:r>
      <w:r w:rsidR="000F7D85" w:rsidRPr="00A67AE8">
        <w:rPr>
          <w:i/>
          <w:spacing w:val="0"/>
          <w:sz w:val="28"/>
          <w:szCs w:val="28"/>
          <w:lang w:val="uk-UA"/>
        </w:rPr>
        <w:t xml:space="preserve"> умови розрахунку </w:t>
      </w:r>
      <w:r w:rsidR="007E0AC1" w:rsidRPr="00A67AE8">
        <w:rPr>
          <w:i/>
          <w:spacing w:val="0"/>
          <w:sz w:val="28"/>
          <w:szCs w:val="28"/>
          <w:lang w:val="uk-UA"/>
        </w:rPr>
        <w:t>індексу</w:t>
      </w:r>
      <w:r w:rsidR="000F7D85" w:rsidRPr="00A67AE8">
        <w:rPr>
          <w:i/>
          <w:spacing w:val="0"/>
          <w:sz w:val="28"/>
          <w:szCs w:val="28"/>
          <w:lang w:val="uk-UA"/>
        </w:rPr>
        <w:t xml:space="preserve"> ПФТС і його структуру. Проведено кореляційний аналіз індексу ПФТС і макроекономічних показників, побудовано регресійну модель. Розроблено пропозиції щодо </w:t>
      </w:r>
      <w:r w:rsidR="007E0AC1" w:rsidRPr="00A67AE8">
        <w:rPr>
          <w:i/>
          <w:spacing w:val="0"/>
          <w:sz w:val="28"/>
          <w:szCs w:val="28"/>
          <w:lang w:val="uk-UA"/>
        </w:rPr>
        <w:t xml:space="preserve">взаємно-стимулюючого розвитку фондового ринку і національної економіки. </w:t>
      </w:r>
    </w:p>
    <w:p w:rsidR="00A67AE8" w:rsidRPr="00A67AE8" w:rsidRDefault="00A67AE8" w:rsidP="000F7D85">
      <w:pPr>
        <w:jc w:val="both"/>
        <w:rPr>
          <w:b/>
          <w:spacing w:val="0"/>
          <w:sz w:val="28"/>
          <w:szCs w:val="28"/>
          <w:lang w:val="uk-UA"/>
        </w:rPr>
      </w:pPr>
      <w:r w:rsidRPr="00A67AE8">
        <w:rPr>
          <w:b/>
          <w:spacing w:val="0"/>
          <w:sz w:val="28"/>
          <w:szCs w:val="28"/>
          <w:lang w:val="uk-UA"/>
        </w:rPr>
        <w:tab/>
        <w:t>Ключові слова:</w:t>
      </w:r>
      <w:r>
        <w:rPr>
          <w:b/>
          <w:spacing w:val="0"/>
          <w:sz w:val="28"/>
          <w:szCs w:val="28"/>
          <w:lang w:val="uk-UA"/>
        </w:rPr>
        <w:t xml:space="preserve"> індикатор, фондовий ринок, національна економіка, індекс, ПФТС, макроекономічні, показники, кореляційний аналіз</w:t>
      </w:r>
    </w:p>
    <w:p w:rsidR="000F7D85" w:rsidRPr="007E0AC1" w:rsidRDefault="000F7D85" w:rsidP="000F7D85">
      <w:pPr>
        <w:jc w:val="both"/>
        <w:rPr>
          <w:spacing w:val="0"/>
          <w:sz w:val="28"/>
          <w:szCs w:val="28"/>
          <w:lang w:val="uk-UA"/>
        </w:rPr>
      </w:pPr>
    </w:p>
    <w:p w:rsidR="006E3E76" w:rsidRPr="007E0AC1" w:rsidRDefault="00A06990" w:rsidP="00802DD0">
      <w:pPr>
        <w:shd w:val="clear" w:color="auto" w:fill="FFFFFF"/>
        <w:ind w:firstLine="720"/>
        <w:jc w:val="both"/>
        <w:rPr>
          <w:spacing w:val="0"/>
          <w:lang w:val="uk-UA"/>
        </w:rPr>
      </w:pPr>
      <w:r w:rsidRPr="007E0AC1">
        <w:rPr>
          <w:b/>
          <w:spacing w:val="0"/>
          <w:sz w:val="28"/>
          <w:szCs w:val="28"/>
          <w:lang w:val="uk-UA"/>
        </w:rPr>
        <w:t>Постановка проблеми у загальному вигляді та зв'язок із найважливішими науковими чи практичними завданнями.</w:t>
      </w:r>
      <w:r w:rsidR="00E05113" w:rsidRPr="007E0AC1">
        <w:rPr>
          <w:b/>
          <w:spacing w:val="0"/>
          <w:sz w:val="28"/>
          <w:szCs w:val="28"/>
          <w:lang w:val="uk-UA"/>
        </w:rPr>
        <w:t xml:space="preserve"> </w:t>
      </w:r>
      <w:r w:rsidR="00E05113" w:rsidRPr="007E0AC1">
        <w:rPr>
          <w:spacing w:val="0"/>
          <w:sz w:val="28"/>
          <w:szCs w:val="28"/>
          <w:lang w:val="uk-UA"/>
        </w:rPr>
        <w:t xml:space="preserve">У 2008 р. відбулася зміна вектору розвитку національної економіки. </w:t>
      </w:r>
      <w:r w:rsidR="00802DD0" w:rsidRPr="007E0AC1">
        <w:rPr>
          <w:spacing w:val="0"/>
          <w:sz w:val="28"/>
          <w:szCs w:val="28"/>
          <w:lang w:val="uk-UA"/>
        </w:rPr>
        <w:t>Внутрішня</w:t>
      </w:r>
      <w:r w:rsidR="00E05113" w:rsidRPr="007E0AC1">
        <w:rPr>
          <w:spacing w:val="0"/>
          <w:sz w:val="28"/>
          <w:szCs w:val="28"/>
          <w:lang w:val="uk-UA"/>
        </w:rPr>
        <w:t xml:space="preserve"> політична криза в Україні лише підсилила вплив світової фінансової кризи, який гостро проявився у 4 кв. минулого року. Макроекономічними фінансовими </w:t>
      </w:r>
      <w:r w:rsidR="00A17B8F" w:rsidRPr="007E0AC1">
        <w:rPr>
          <w:spacing w:val="0"/>
          <w:sz w:val="28"/>
          <w:szCs w:val="28"/>
          <w:lang w:val="uk-UA"/>
        </w:rPr>
        <w:t>індикаторами стали: жорсткий дефіцит</w:t>
      </w:r>
      <w:r w:rsidR="0094084D" w:rsidRPr="007E0AC1">
        <w:rPr>
          <w:spacing w:val="0"/>
          <w:sz w:val="28"/>
          <w:szCs w:val="28"/>
          <w:lang w:val="uk-UA"/>
        </w:rPr>
        <w:t xml:space="preserve"> </w:t>
      </w:r>
      <w:r w:rsidR="00A17B8F" w:rsidRPr="007E0AC1">
        <w:rPr>
          <w:spacing w:val="0"/>
          <w:sz w:val="28"/>
          <w:szCs w:val="28"/>
          <w:lang w:val="uk-UA"/>
        </w:rPr>
        <w:t>ліквідності банківської системи та загроза</w:t>
      </w:r>
      <w:r w:rsidR="006E3E76" w:rsidRPr="007E0AC1">
        <w:rPr>
          <w:spacing w:val="0"/>
          <w:sz w:val="28"/>
          <w:szCs w:val="28"/>
          <w:lang w:val="uk-UA"/>
        </w:rPr>
        <w:t xml:space="preserve"> банкротства </w:t>
      </w:r>
      <w:r w:rsidR="00A17B8F" w:rsidRPr="007E0AC1">
        <w:rPr>
          <w:spacing w:val="0"/>
          <w:sz w:val="28"/>
          <w:szCs w:val="28"/>
          <w:lang w:val="uk-UA"/>
        </w:rPr>
        <w:t xml:space="preserve">банків; стрімка девальвація </w:t>
      </w:r>
      <w:r w:rsidR="0094084D" w:rsidRPr="007E0AC1">
        <w:rPr>
          <w:spacing w:val="0"/>
          <w:sz w:val="28"/>
          <w:szCs w:val="28"/>
          <w:lang w:val="uk-UA"/>
        </w:rPr>
        <w:t>національної</w:t>
      </w:r>
      <w:r w:rsidR="00EC36ED" w:rsidRPr="007E0AC1">
        <w:rPr>
          <w:spacing w:val="0"/>
          <w:sz w:val="28"/>
          <w:szCs w:val="28"/>
          <w:lang w:val="uk-UA"/>
        </w:rPr>
        <w:t xml:space="preserve"> </w:t>
      </w:r>
      <w:r w:rsidR="0094084D" w:rsidRPr="007E0AC1">
        <w:rPr>
          <w:spacing w:val="0"/>
          <w:sz w:val="28"/>
          <w:szCs w:val="28"/>
          <w:lang w:val="uk-UA"/>
        </w:rPr>
        <w:t>валюти</w:t>
      </w:r>
      <w:r w:rsidR="00EC36ED" w:rsidRPr="007E0AC1">
        <w:rPr>
          <w:spacing w:val="0"/>
          <w:sz w:val="28"/>
          <w:szCs w:val="28"/>
          <w:lang w:val="uk-UA"/>
        </w:rPr>
        <w:t xml:space="preserve">; </w:t>
      </w:r>
      <w:r w:rsidR="00A17B8F" w:rsidRPr="007E0AC1">
        <w:rPr>
          <w:spacing w:val="0"/>
          <w:sz w:val="28"/>
          <w:szCs w:val="28"/>
          <w:lang w:val="uk-UA"/>
        </w:rPr>
        <w:t>обвал фондового ринку України в</w:t>
      </w:r>
      <w:r w:rsidR="0094084D" w:rsidRPr="007E0AC1">
        <w:rPr>
          <w:spacing w:val="0"/>
          <w:sz w:val="28"/>
          <w:szCs w:val="28"/>
          <w:lang w:val="uk-UA"/>
        </w:rPr>
        <w:t>наслідок масового виходу іноземних портфельних інвесторів з українських активів.</w:t>
      </w:r>
      <w:r w:rsidR="00A17B8F" w:rsidRPr="007E0AC1">
        <w:rPr>
          <w:spacing w:val="0"/>
          <w:sz w:val="28"/>
          <w:szCs w:val="28"/>
          <w:lang w:val="uk-UA"/>
        </w:rPr>
        <w:t xml:space="preserve"> У реальному секторі це позначилося уповільненням економічного зростання та факти</w:t>
      </w:r>
      <w:r w:rsidR="006E3E76" w:rsidRPr="007E0AC1">
        <w:rPr>
          <w:spacing w:val="0"/>
          <w:sz w:val="28"/>
          <w:szCs w:val="28"/>
          <w:lang w:val="uk-UA"/>
        </w:rPr>
        <w:t>чним входженням у рецесію</w:t>
      </w:r>
      <w:r w:rsidR="00A17B8F" w:rsidRPr="007E0AC1">
        <w:rPr>
          <w:spacing w:val="0"/>
          <w:sz w:val="28"/>
          <w:szCs w:val="28"/>
          <w:lang w:val="uk-UA"/>
        </w:rPr>
        <w:t xml:space="preserve">. </w:t>
      </w:r>
      <w:r w:rsidR="00EE37AB" w:rsidRPr="007E0AC1">
        <w:rPr>
          <w:spacing w:val="0"/>
          <w:sz w:val="28"/>
          <w:szCs w:val="28"/>
          <w:lang w:val="uk-UA"/>
        </w:rPr>
        <w:t>Індекс промислової продукції України у січні 2009 р. порів</w:t>
      </w:r>
      <w:r w:rsidR="00EE37AB" w:rsidRPr="007E0AC1">
        <w:rPr>
          <w:spacing w:val="0"/>
          <w:sz w:val="28"/>
          <w:szCs w:val="28"/>
          <w:lang w:val="uk-UA"/>
        </w:rPr>
        <w:softHyphen/>
        <w:t>няно з відповідним місяцем попереднього року становив 65,9%. Не досяг</w:t>
      </w:r>
      <w:r w:rsidR="00EE37AB" w:rsidRPr="007E0AC1">
        <w:rPr>
          <w:spacing w:val="0"/>
          <w:sz w:val="28"/>
          <w:szCs w:val="28"/>
          <w:lang w:val="uk-UA"/>
        </w:rPr>
        <w:softHyphen/>
        <w:t>нуто рівня виробництва січня 2008р. у всіх основних видах промислової діяльності, крім нафтоперероб</w:t>
      </w:r>
      <w:r w:rsidR="00802DD0" w:rsidRPr="007E0AC1">
        <w:rPr>
          <w:spacing w:val="0"/>
          <w:sz w:val="28"/>
          <w:szCs w:val="28"/>
          <w:lang w:val="uk-UA"/>
        </w:rPr>
        <w:t>ки</w:t>
      </w:r>
      <w:r w:rsidR="0007439F" w:rsidRPr="007E0AC1">
        <w:rPr>
          <w:lang w:val="uk-UA"/>
        </w:rPr>
        <w:t xml:space="preserve"> </w:t>
      </w:r>
      <w:r w:rsidR="0007439F" w:rsidRPr="007E0AC1">
        <w:rPr>
          <w:sz w:val="28"/>
          <w:szCs w:val="28"/>
          <w:lang w:val="uk-UA"/>
        </w:rPr>
        <w:t>[1</w:t>
      </w:r>
      <w:r w:rsidR="0007439F" w:rsidRPr="007E0AC1">
        <w:rPr>
          <w:spacing w:val="0"/>
          <w:sz w:val="28"/>
          <w:szCs w:val="28"/>
          <w:lang w:val="uk-UA"/>
        </w:rPr>
        <w:t>, c</w:t>
      </w:r>
      <w:r w:rsidR="00EE37AB" w:rsidRPr="007E0AC1">
        <w:rPr>
          <w:spacing w:val="0"/>
          <w:sz w:val="28"/>
          <w:szCs w:val="28"/>
          <w:lang w:val="uk-UA"/>
        </w:rPr>
        <w:t>.5-8</w:t>
      </w:r>
      <w:r w:rsidR="0007439F" w:rsidRPr="007E0AC1">
        <w:rPr>
          <w:spacing w:val="0"/>
          <w:sz w:val="28"/>
          <w:szCs w:val="28"/>
          <w:lang w:val="uk-UA"/>
        </w:rPr>
        <w:t>]</w:t>
      </w:r>
      <w:r w:rsidR="00EE37AB" w:rsidRPr="007E0AC1">
        <w:rPr>
          <w:spacing w:val="0"/>
          <w:sz w:val="28"/>
          <w:szCs w:val="28"/>
          <w:lang w:val="uk-UA"/>
        </w:rPr>
        <w:t>.</w:t>
      </w:r>
      <w:r w:rsidR="00802DD0" w:rsidRPr="007E0AC1">
        <w:rPr>
          <w:spacing w:val="0"/>
          <w:sz w:val="28"/>
          <w:szCs w:val="28"/>
          <w:lang w:val="uk-UA"/>
        </w:rPr>
        <w:t xml:space="preserve"> </w:t>
      </w:r>
      <w:r w:rsidR="006E3E76" w:rsidRPr="007E0AC1">
        <w:rPr>
          <w:spacing w:val="0"/>
          <w:sz w:val="28"/>
          <w:szCs w:val="28"/>
          <w:lang w:val="uk-UA"/>
        </w:rPr>
        <w:t>Публікація негативної макроекономічної та корпоративної статистики, загострення питання щодо поставок газу до Європи призвели до зниження світових фондових індексів у січні 2009 р. в середньому на 8%</w:t>
      </w:r>
      <w:r w:rsidR="0007439F" w:rsidRPr="007E0AC1">
        <w:rPr>
          <w:sz w:val="28"/>
          <w:szCs w:val="28"/>
          <w:lang w:val="uk-UA"/>
        </w:rPr>
        <w:t xml:space="preserve"> [2]</w:t>
      </w:r>
      <w:r w:rsidR="006E3E76" w:rsidRPr="007E0AC1">
        <w:rPr>
          <w:spacing w:val="0"/>
          <w:sz w:val="28"/>
          <w:szCs w:val="28"/>
          <w:lang w:val="uk-UA"/>
        </w:rPr>
        <w:t>.</w:t>
      </w:r>
      <w:r w:rsidR="00802DD0" w:rsidRPr="007E0AC1">
        <w:rPr>
          <w:spacing w:val="0"/>
          <w:sz w:val="28"/>
          <w:szCs w:val="28"/>
          <w:lang w:val="uk-UA"/>
        </w:rPr>
        <w:t xml:space="preserve"> Провідні світові фондові індекси закінчили січень переважно зі зниженням: S&amp;P500 (-8,57%), Nasdaq (-6,38%), DJI (-8,84%), DAX (-9,81%), Nikkei 225 (-9,77%).</w:t>
      </w:r>
      <w:r w:rsidR="00802DD0" w:rsidRPr="007E0AC1">
        <w:rPr>
          <w:spacing w:val="0"/>
          <w:lang w:val="uk-UA"/>
        </w:rPr>
        <w:t xml:space="preserve"> </w:t>
      </w:r>
      <w:r w:rsidR="00802DD0" w:rsidRPr="007E0AC1">
        <w:rPr>
          <w:spacing w:val="0"/>
          <w:sz w:val="28"/>
          <w:szCs w:val="28"/>
          <w:lang w:val="uk-UA"/>
        </w:rPr>
        <w:t xml:space="preserve">Отже у сучасних умовах проблема дослідження  руху фондових індексів та факторів впливу на них є актуальною. </w:t>
      </w:r>
    </w:p>
    <w:p w:rsidR="0076652C" w:rsidRPr="007E0AC1" w:rsidRDefault="00A06990" w:rsidP="00507E6B">
      <w:pPr>
        <w:ind w:firstLine="720"/>
        <w:jc w:val="both"/>
        <w:rPr>
          <w:spacing w:val="0"/>
          <w:sz w:val="28"/>
          <w:szCs w:val="28"/>
          <w:lang w:val="uk-UA"/>
        </w:rPr>
      </w:pPr>
      <w:r w:rsidRPr="007E0AC1">
        <w:rPr>
          <w:b/>
          <w:spacing w:val="0"/>
          <w:sz w:val="28"/>
          <w:szCs w:val="28"/>
          <w:lang w:val="uk-UA"/>
        </w:rPr>
        <w:t>Аналіз останніх досліджень і публікацій, в яких започатковано розв'язання даної проблеми і на які спирається автор, виділення невирішених раніше частин загальної проблеми, котрим присвячується означена стаття.</w:t>
      </w:r>
      <w:r w:rsidR="00C9790E" w:rsidRPr="007E0AC1">
        <w:rPr>
          <w:b/>
          <w:spacing w:val="0"/>
          <w:sz w:val="28"/>
          <w:szCs w:val="28"/>
          <w:lang w:val="uk-UA"/>
        </w:rPr>
        <w:t xml:space="preserve"> </w:t>
      </w:r>
      <w:r w:rsidR="00C9790E" w:rsidRPr="007E0AC1">
        <w:rPr>
          <w:spacing w:val="0"/>
          <w:sz w:val="28"/>
          <w:szCs w:val="28"/>
          <w:lang w:val="uk-UA"/>
        </w:rPr>
        <w:t xml:space="preserve">Проблеми функціонування фондового ринку України є предметом обговорення  вчених різних галузей науки. </w:t>
      </w:r>
      <w:r w:rsidR="0076652C" w:rsidRPr="007E0AC1">
        <w:rPr>
          <w:bCs/>
          <w:spacing w:val="0"/>
          <w:sz w:val="28"/>
          <w:szCs w:val="28"/>
          <w:lang w:val="uk-UA"/>
        </w:rPr>
        <w:t>Узагальнюючи досвід трансформації фондових ринків країн Центральної та Східної Європи</w:t>
      </w:r>
      <w:r w:rsidR="00507E6B" w:rsidRPr="007E0AC1">
        <w:rPr>
          <w:bCs/>
          <w:spacing w:val="0"/>
          <w:sz w:val="28"/>
          <w:szCs w:val="28"/>
          <w:lang w:val="uk-UA"/>
        </w:rPr>
        <w:t>,</w:t>
      </w:r>
      <w:r w:rsidR="0076652C" w:rsidRPr="007E0AC1">
        <w:rPr>
          <w:bCs/>
          <w:spacing w:val="0"/>
          <w:sz w:val="28"/>
          <w:szCs w:val="28"/>
          <w:lang w:val="uk-UA"/>
        </w:rPr>
        <w:t xml:space="preserve"> Котляров С.Л. </w:t>
      </w:r>
      <w:r w:rsidR="00507E6B" w:rsidRPr="007E0AC1">
        <w:rPr>
          <w:spacing w:val="0"/>
          <w:sz w:val="28"/>
          <w:szCs w:val="28"/>
          <w:lang w:val="uk-UA"/>
        </w:rPr>
        <w:t>доводить</w:t>
      </w:r>
      <w:r w:rsidR="0076652C" w:rsidRPr="007E0AC1">
        <w:rPr>
          <w:spacing w:val="0"/>
          <w:sz w:val="28"/>
          <w:szCs w:val="28"/>
          <w:lang w:val="uk-UA"/>
        </w:rPr>
        <w:t xml:space="preserve">, що організаційно-структурна динаміка й ефективність функціонування національних фондових ринків досягається за умов чітко </w:t>
      </w:r>
      <w:r w:rsidR="0076652C" w:rsidRPr="007E0AC1">
        <w:rPr>
          <w:spacing w:val="0"/>
          <w:sz w:val="28"/>
          <w:szCs w:val="28"/>
          <w:lang w:val="uk-UA"/>
        </w:rPr>
        <w:lastRenderedPageBreak/>
        <w:t>визначеної моделі та стратегії їх розвитку, законодавчо-нормативної врегульованості, розвинутості фондової інфраструктури, збалансованої політики фінансової лібералізації</w:t>
      </w:r>
      <w:r w:rsidR="0007439F" w:rsidRPr="007E0AC1">
        <w:rPr>
          <w:spacing w:val="0"/>
          <w:sz w:val="28"/>
          <w:szCs w:val="28"/>
          <w:lang w:val="uk-UA"/>
        </w:rPr>
        <w:t xml:space="preserve"> [3]</w:t>
      </w:r>
      <w:r w:rsidR="0076652C" w:rsidRPr="007E0AC1">
        <w:rPr>
          <w:spacing w:val="0"/>
          <w:sz w:val="28"/>
          <w:szCs w:val="28"/>
          <w:lang w:val="uk-UA"/>
        </w:rPr>
        <w:t xml:space="preserve">. </w:t>
      </w:r>
      <w:r w:rsidR="00507E6B" w:rsidRPr="007E0AC1">
        <w:rPr>
          <w:spacing w:val="0"/>
          <w:sz w:val="28"/>
          <w:szCs w:val="28"/>
          <w:lang w:val="uk-UA"/>
        </w:rPr>
        <w:t>Куліш О.А. наводить власне бачення національного фондового ринку в економічний системі країни,  структурує</w:t>
      </w:r>
      <w:r w:rsidR="0076652C" w:rsidRPr="007E0AC1">
        <w:rPr>
          <w:spacing w:val="0"/>
          <w:sz w:val="28"/>
          <w:szCs w:val="28"/>
          <w:lang w:val="uk-UA"/>
        </w:rPr>
        <w:t xml:space="preserve"> основні економічні інтереси суб'єк</w:t>
      </w:r>
      <w:r w:rsidR="00507E6B" w:rsidRPr="007E0AC1">
        <w:rPr>
          <w:spacing w:val="0"/>
          <w:sz w:val="28"/>
          <w:szCs w:val="28"/>
          <w:lang w:val="uk-UA"/>
        </w:rPr>
        <w:t xml:space="preserve">тів і відповідні їм протиріччя, діагностує </w:t>
      </w:r>
      <w:r w:rsidR="0076652C" w:rsidRPr="007E0AC1">
        <w:rPr>
          <w:spacing w:val="0"/>
          <w:sz w:val="28"/>
          <w:szCs w:val="28"/>
          <w:lang w:val="uk-UA"/>
        </w:rPr>
        <w:t xml:space="preserve"> причини його повільного розви</w:t>
      </w:r>
      <w:r w:rsidR="00507E6B" w:rsidRPr="007E0AC1">
        <w:rPr>
          <w:spacing w:val="0"/>
          <w:sz w:val="28"/>
          <w:szCs w:val="28"/>
          <w:lang w:val="uk-UA"/>
        </w:rPr>
        <w:t>тку, з урахуванням яких пропонує</w:t>
      </w:r>
      <w:r w:rsidR="0076652C" w:rsidRPr="007E0AC1">
        <w:rPr>
          <w:spacing w:val="0"/>
          <w:sz w:val="28"/>
          <w:szCs w:val="28"/>
          <w:lang w:val="uk-UA"/>
        </w:rPr>
        <w:t xml:space="preserve"> концепцію державної політики сприяння формуванню фондового ринку на макро- та </w:t>
      </w:r>
      <w:r w:rsidR="0007439F" w:rsidRPr="007E0AC1">
        <w:rPr>
          <w:spacing w:val="0"/>
          <w:sz w:val="28"/>
          <w:szCs w:val="28"/>
          <w:lang w:val="uk-UA"/>
        </w:rPr>
        <w:t>макрорівнях</w:t>
      </w:r>
      <w:r w:rsidR="0007439F" w:rsidRPr="007E0AC1">
        <w:rPr>
          <w:sz w:val="28"/>
          <w:szCs w:val="28"/>
          <w:lang w:val="uk-UA"/>
        </w:rPr>
        <w:t xml:space="preserve"> [4]</w:t>
      </w:r>
      <w:r w:rsidR="0076652C" w:rsidRPr="007E0AC1">
        <w:rPr>
          <w:spacing w:val="0"/>
          <w:sz w:val="28"/>
          <w:szCs w:val="28"/>
          <w:lang w:val="uk-UA"/>
        </w:rPr>
        <w:t xml:space="preserve">. </w:t>
      </w:r>
    </w:p>
    <w:p w:rsidR="0076652C" w:rsidRPr="007E0AC1" w:rsidRDefault="00C9790E" w:rsidP="0076652C">
      <w:pPr>
        <w:ind w:firstLine="720"/>
        <w:jc w:val="both"/>
        <w:rPr>
          <w:spacing w:val="0"/>
          <w:sz w:val="28"/>
          <w:szCs w:val="28"/>
          <w:lang w:val="uk-UA"/>
        </w:rPr>
      </w:pPr>
      <w:r w:rsidRPr="007E0AC1">
        <w:rPr>
          <w:spacing w:val="0"/>
          <w:sz w:val="28"/>
          <w:szCs w:val="28"/>
          <w:lang w:val="uk-UA"/>
        </w:rPr>
        <w:t xml:space="preserve">Шелудько Н.М. робить акцент на інвестиційній функції </w:t>
      </w:r>
      <w:r w:rsidR="00DA4D0B" w:rsidRPr="007E0AC1">
        <w:rPr>
          <w:spacing w:val="0"/>
          <w:sz w:val="28"/>
          <w:szCs w:val="28"/>
          <w:lang w:val="uk-UA"/>
        </w:rPr>
        <w:t>фондового ринку, пропонуючи</w:t>
      </w:r>
      <w:r w:rsidR="00C61C4A" w:rsidRPr="007E0AC1">
        <w:rPr>
          <w:spacing w:val="0"/>
          <w:sz w:val="28"/>
          <w:szCs w:val="28"/>
          <w:lang w:val="uk-UA"/>
        </w:rPr>
        <w:t xml:space="preserve"> комплекс заходів щодо удосконалення функціонування банківської системи та фондо</w:t>
      </w:r>
      <w:r w:rsidR="0076652C" w:rsidRPr="007E0AC1">
        <w:rPr>
          <w:spacing w:val="0"/>
          <w:sz w:val="28"/>
          <w:szCs w:val="28"/>
          <w:lang w:val="uk-UA"/>
        </w:rPr>
        <w:t>вого ринку з метою</w:t>
      </w:r>
      <w:r w:rsidR="00C61C4A" w:rsidRPr="007E0AC1">
        <w:rPr>
          <w:spacing w:val="0"/>
          <w:sz w:val="28"/>
          <w:szCs w:val="28"/>
          <w:lang w:val="uk-UA"/>
        </w:rPr>
        <w:t xml:space="preserve"> посилення ролі кредиту в інвестиційних процесах</w:t>
      </w:r>
      <w:r w:rsidR="0007439F" w:rsidRPr="007E0AC1">
        <w:rPr>
          <w:spacing w:val="0"/>
          <w:sz w:val="28"/>
          <w:szCs w:val="28"/>
          <w:lang w:val="uk-UA"/>
        </w:rPr>
        <w:t xml:space="preserve"> [5]</w:t>
      </w:r>
      <w:r w:rsidR="00C61C4A" w:rsidRPr="007E0AC1">
        <w:rPr>
          <w:spacing w:val="0"/>
          <w:sz w:val="28"/>
          <w:szCs w:val="28"/>
          <w:lang w:val="uk-UA"/>
        </w:rPr>
        <w:t xml:space="preserve">. </w:t>
      </w:r>
      <w:r w:rsidR="0076652C" w:rsidRPr="007E0AC1">
        <w:rPr>
          <w:iCs/>
          <w:color w:val="000000"/>
          <w:spacing w:val="0"/>
          <w:sz w:val="28"/>
          <w:szCs w:val="28"/>
          <w:lang w:val="uk-UA"/>
        </w:rPr>
        <w:t>Аналізується залежність стану національного фондового ринку від обсягу і структури приватних запозичень фінансових установ на міжнародних фондових ринках</w:t>
      </w:r>
      <w:r w:rsidR="0076652C" w:rsidRPr="007E0AC1">
        <w:rPr>
          <w:color w:val="000000"/>
          <w:spacing w:val="0"/>
          <w:sz w:val="28"/>
          <w:szCs w:val="28"/>
          <w:lang w:val="uk-UA"/>
        </w:rPr>
        <w:t xml:space="preserve"> </w:t>
      </w:r>
      <w:r w:rsidR="0007439F" w:rsidRPr="007E0AC1">
        <w:rPr>
          <w:spacing w:val="0"/>
          <w:sz w:val="28"/>
          <w:szCs w:val="28"/>
          <w:lang w:val="uk-UA"/>
        </w:rPr>
        <w:t>[6]</w:t>
      </w:r>
      <w:r w:rsidR="0076652C" w:rsidRPr="007E0AC1">
        <w:rPr>
          <w:color w:val="000000"/>
          <w:spacing w:val="0"/>
          <w:sz w:val="28"/>
          <w:szCs w:val="28"/>
          <w:lang w:val="uk-UA"/>
        </w:rPr>
        <w:t xml:space="preserve">. Тому фондовий ринок розглядається як чинник економічної безпеки держави, </w:t>
      </w:r>
      <w:r w:rsidR="0076652C" w:rsidRPr="007E0AC1">
        <w:rPr>
          <w:spacing w:val="0"/>
          <w:sz w:val="28"/>
          <w:szCs w:val="28"/>
          <w:lang w:val="uk-UA"/>
        </w:rPr>
        <w:t>науково обґрунтовуються підходи щодо виявлення, класифікації та діагностики загроз його розвитку, заходи протидії їх негативному впливу</w:t>
      </w:r>
      <w:r w:rsidR="0007439F" w:rsidRPr="007E0AC1">
        <w:rPr>
          <w:spacing w:val="0"/>
          <w:sz w:val="28"/>
          <w:szCs w:val="28"/>
          <w:lang w:val="uk-UA"/>
        </w:rPr>
        <w:t xml:space="preserve"> [7]</w:t>
      </w:r>
      <w:r w:rsidR="0076652C" w:rsidRPr="007E0AC1">
        <w:rPr>
          <w:spacing w:val="0"/>
          <w:sz w:val="28"/>
          <w:szCs w:val="28"/>
          <w:lang w:val="uk-UA"/>
        </w:rPr>
        <w:t xml:space="preserve">. </w:t>
      </w:r>
    </w:p>
    <w:p w:rsidR="00A67AE8" w:rsidRDefault="00507E6B" w:rsidP="00A67AE8">
      <w:pPr>
        <w:ind w:firstLine="720"/>
        <w:jc w:val="both"/>
        <w:rPr>
          <w:spacing w:val="0"/>
          <w:sz w:val="28"/>
          <w:szCs w:val="28"/>
          <w:lang w:val="uk-UA"/>
        </w:rPr>
      </w:pPr>
      <w:r w:rsidRPr="007E0AC1">
        <w:rPr>
          <w:spacing w:val="0"/>
          <w:sz w:val="28"/>
          <w:szCs w:val="28"/>
          <w:lang w:val="uk-UA"/>
        </w:rPr>
        <w:t xml:space="preserve">У працях Зомчак Л.М., Андрощук Т.О. доводиться, що </w:t>
      </w:r>
      <w:r w:rsidR="00C61C4A" w:rsidRPr="007E0AC1">
        <w:rPr>
          <w:spacing w:val="0"/>
          <w:sz w:val="28"/>
          <w:szCs w:val="28"/>
          <w:lang w:val="uk-UA"/>
        </w:rPr>
        <w:t>сучасні умови функціонування фінансових ринків не відповідають класичній лінійній парадигмі та потребують нових методів аналізу. На підставі дослідження фондового індексу ПФТС і складових його індексного кошика зроблено висновок про хаотичну природу та нелінійний характер залежностей на фінансовому ринку України</w:t>
      </w:r>
      <w:r w:rsidR="0007439F" w:rsidRPr="007E0AC1">
        <w:rPr>
          <w:spacing w:val="0"/>
          <w:sz w:val="28"/>
          <w:szCs w:val="28"/>
          <w:lang w:val="uk-UA"/>
        </w:rPr>
        <w:t xml:space="preserve"> [8]</w:t>
      </w:r>
      <w:r w:rsidR="00C61C4A" w:rsidRPr="007E0AC1">
        <w:rPr>
          <w:spacing w:val="0"/>
          <w:sz w:val="28"/>
          <w:szCs w:val="28"/>
          <w:lang w:val="uk-UA"/>
        </w:rPr>
        <w:t>.</w:t>
      </w:r>
      <w:r w:rsidRPr="007E0AC1">
        <w:rPr>
          <w:spacing w:val="0"/>
          <w:sz w:val="28"/>
          <w:szCs w:val="28"/>
          <w:lang w:val="uk-UA"/>
        </w:rPr>
        <w:t xml:space="preserve"> </w:t>
      </w:r>
      <w:r w:rsidR="00C61C4A" w:rsidRPr="007E0AC1">
        <w:rPr>
          <w:spacing w:val="0"/>
          <w:sz w:val="28"/>
          <w:szCs w:val="28"/>
          <w:lang w:val="uk-UA"/>
        </w:rPr>
        <w:t xml:space="preserve">Для змішаної моделі Блека - Шоулса фондового ринку встановлено безарбітражність ринку у класі самофінансованих стратегій марковського типу, а також одержано зображення процесу самофінансованого капіталу інвестора у вигляді межі послідовності </w:t>
      </w:r>
      <w:r w:rsidR="0007439F" w:rsidRPr="007E0AC1">
        <w:rPr>
          <w:spacing w:val="0"/>
          <w:sz w:val="28"/>
          <w:szCs w:val="28"/>
          <w:lang w:val="uk-UA"/>
        </w:rPr>
        <w:t>семімартингалів [9]</w:t>
      </w:r>
      <w:r w:rsidR="00C61C4A" w:rsidRPr="007E0AC1">
        <w:rPr>
          <w:spacing w:val="0"/>
          <w:sz w:val="28"/>
          <w:szCs w:val="28"/>
          <w:lang w:val="uk-UA"/>
        </w:rPr>
        <w:t xml:space="preserve">. </w:t>
      </w:r>
      <w:r w:rsidRPr="007E0AC1">
        <w:rPr>
          <w:bCs/>
          <w:spacing w:val="0"/>
          <w:sz w:val="28"/>
          <w:szCs w:val="28"/>
          <w:lang w:val="uk-UA"/>
        </w:rPr>
        <w:t>Тому в основу удосконалення автоматизованого управління портфелем цінних паперів на фондовому ринку</w:t>
      </w:r>
      <w:r w:rsidRPr="007E0AC1">
        <w:rPr>
          <w:spacing w:val="0"/>
          <w:sz w:val="28"/>
          <w:szCs w:val="28"/>
          <w:lang w:val="uk-UA"/>
        </w:rPr>
        <w:t xml:space="preserve"> покладено удосконалений метод оцінки фінансово-економічного стану підприємства на підставі розрахунку багаторівневого інтегрального коефіцієнта, що дозволяє розв'язати задачу ранжування та порівняння підприємств згідно з фінансовими показниками</w:t>
      </w:r>
      <w:r w:rsidR="0007439F" w:rsidRPr="007E0AC1">
        <w:rPr>
          <w:spacing w:val="0"/>
          <w:sz w:val="28"/>
          <w:szCs w:val="28"/>
          <w:lang w:val="uk-UA"/>
        </w:rPr>
        <w:t xml:space="preserve"> [10]</w:t>
      </w:r>
      <w:r w:rsidRPr="007E0AC1">
        <w:rPr>
          <w:spacing w:val="0"/>
          <w:sz w:val="28"/>
          <w:szCs w:val="28"/>
          <w:lang w:val="uk-UA"/>
        </w:rPr>
        <w:t>.</w:t>
      </w:r>
    </w:p>
    <w:p w:rsidR="006E3E76" w:rsidRPr="00A67AE8" w:rsidRDefault="006E3E76" w:rsidP="006E3E76">
      <w:pPr>
        <w:ind w:firstLine="720"/>
        <w:jc w:val="both"/>
        <w:rPr>
          <w:spacing w:val="0"/>
          <w:sz w:val="28"/>
          <w:szCs w:val="28"/>
          <w:lang w:val="uk-UA"/>
        </w:rPr>
      </w:pPr>
      <w:r w:rsidRPr="007E0AC1">
        <w:rPr>
          <w:b/>
          <w:spacing w:val="0"/>
          <w:sz w:val="28"/>
          <w:szCs w:val="28"/>
          <w:lang w:val="uk-UA"/>
        </w:rPr>
        <w:t>Формування ціл</w:t>
      </w:r>
      <w:r w:rsidR="00A67AE8">
        <w:rPr>
          <w:b/>
          <w:spacing w:val="0"/>
          <w:sz w:val="28"/>
          <w:szCs w:val="28"/>
          <w:lang w:val="uk-UA"/>
        </w:rPr>
        <w:t>ей статті (постановка завдання) –</w:t>
      </w:r>
      <w:r w:rsidR="00A67AE8" w:rsidRPr="00A67AE8">
        <w:rPr>
          <w:spacing w:val="0"/>
          <w:sz w:val="28"/>
          <w:szCs w:val="28"/>
          <w:lang w:val="uk-UA"/>
        </w:rPr>
        <w:t xml:space="preserve"> діагностика </w:t>
      </w:r>
      <w:r w:rsidR="00A67AE8">
        <w:rPr>
          <w:spacing w:val="0"/>
          <w:sz w:val="28"/>
          <w:szCs w:val="28"/>
          <w:lang w:val="uk-UA"/>
        </w:rPr>
        <w:t>характеру взаємозв’язків індикаторів реального і фінансового секторів і обґрунтування на цій основі</w:t>
      </w:r>
      <w:r w:rsidR="00A67AE8" w:rsidRPr="00A67AE8">
        <w:rPr>
          <w:spacing w:val="0"/>
          <w:sz w:val="28"/>
          <w:szCs w:val="28"/>
          <w:lang w:val="uk-UA"/>
        </w:rPr>
        <w:t xml:space="preserve"> пропозицій щодо взаємно-стимулюючого розвитку фондового ринку і національної економіки. </w:t>
      </w:r>
    </w:p>
    <w:p w:rsidR="00B40479" w:rsidRPr="002F04B4" w:rsidRDefault="006E3E76" w:rsidP="00B40479">
      <w:pPr>
        <w:ind w:firstLine="720"/>
        <w:jc w:val="both"/>
        <w:rPr>
          <w:b/>
          <w:spacing w:val="0"/>
          <w:sz w:val="28"/>
          <w:szCs w:val="28"/>
          <w:lang w:val="uk-UA"/>
        </w:rPr>
      </w:pPr>
      <w:r w:rsidRPr="007E0AC1">
        <w:rPr>
          <w:b/>
          <w:spacing w:val="0"/>
          <w:sz w:val="28"/>
          <w:szCs w:val="28"/>
          <w:lang w:val="uk-UA"/>
        </w:rPr>
        <w:t>Виклад основного матеріалу дослідження з повним обґрунтуванням отриманих наукових результатів.</w:t>
      </w:r>
      <w:r w:rsidR="002F04B4">
        <w:rPr>
          <w:b/>
          <w:spacing w:val="0"/>
          <w:sz w:val="28"/>
          <w:szCs w:val="28"/>
          <w:lang w:val="uk-UA"/>
        </w:rPr>
        <w:t xml:space="preserve"> </w:t>
      </w:r>
      <w:r w:rsidR="00B40479" w:rsidRPr="007E0AC1">
        <w:rPr>
          <w:spacing w:val="0"/>
          <w:sz w:val="28"/>
          <w:szCs w:val="28"/>
          <w:lang w:val="uk-UA"/>
        </w:rPr>
        <w:t xml:space="preserve">Українські фондові індекси почали розповсюджуватись на початку 1997 р. Головним показником розвитку ринку цінних паперів України, визнаним не тільки в межах нашої держави, але й за кордоном, є індекс ПФТС, що розраховується на базі цін найбільш ліквідних акцій «Ринку котировок» ПФТС, з 1 жовтня 1997 року. Дані ПФТС, яка є кореспондованим членом Світової Федерації Фондових Бірж та членом </w:t>
      </w:r>
      <w:r w:rsidR="00B40479" w:rsidRPr="007E0AC1">
        <w:rPr>
          <w:spacing w:val="0"/>
          <w:sz w:val="28"/>
          <w:szCs w:val="28"/>
          <w:lang w:val="uk-UA"/>
        </w:rPr>
        <w:lastRenderedPageBreak/>
        <w:t xml:space="preserve">Міжнародної Асоціації бірж СНД, широко використовуються вітчизняною та міжнародною інвестиційною спільнотою. </w:t>
      </w:r>
    </w:p>
    <w:p w:rsidR="00B40479" w:rsidRPr="007E0AC1" w:rsidRDefault="00B40479" w:rsidP="00B40479">
      <w:pPr>
        <w:ind w:firstLine="720"/>
        <w:jc w:val="both"/>
        <w:rPr>
          <w:spacing w:val="0"/>
          <w:sz w:val="28"/>
          <w:szCs w:val="28"/>
          <w:lang w:val="uk-UA"/>
        </w:rPr>
      </w:pPr>
      <w:r w:rsidRPr="007E0AC1">
        <w:rPr>
          <w:spacing w:val="0"/>
          <w:sz w:val="28"/>
          <w:szCs w:val="28"/>
          <w:lang w:val="uk-UA"/>
        </w:rPr>
        <w:t xml:space="preserve">У табл. </w:t>
      </w:r>
      <w:r w:rsidR="00D37A8E" w:rsidRPr="007E0AC1">
        <w:rPr>
          <w:spacing w:val="0"/>
          <w:sz w:val="28"/>
          <w:szCs w:val="28"/>
          <w:lang w:val="uk-UA"/>
        </w:rPr>
        <w:t xml:space="preserve">1 наведено динаміку провідних фінансових індексів, яка характеризується негативними тенденціями – скороченням від 33,8% до 74,33%. </w:t>
      </w:r>
    </w:p>
    <w:p w:rsidR="00B40479" w:rsidRPr="007E0AC1" w:rsidRDefault="006E243B" w:rsidP="006E243B">
      <w:pPr>
        <w:shd w:val="clear" w:color="auto" w:fill="FFFFFF"/>
        <w:autoSpaceDE w:val="0"/>
        <w:autoSpaceDN w:val="0"/>
        <w:adjustRightInd w:val="0"/>
        <w:jc w:val="right"/>
        <w:rPr>
          <w:spacing w:val="0"/>
          <w:sz w:val="28"/>
          <w:szCs w:val="28"/>
          <w:lang w:val="uk-UA"/>
        </w:rPr>
      </w:pPr>
      <w:r w:rsidRPr="007E0AC1">
        <w:rPr>
          <w:spacing w:val="0"/>
          <w:sz w:val="28"/>
          <w:szCs w:val="28"/>
          <w:lang w:val="uk-UA"/>
        </w:rPr>
        <w:t>Таблиця 1</w:t>
      </w:r>
    </w:p>
    <w:p w:rsidR="000878A0" w:rsidRPr="007E0AC1" w:rsidRDefault="006E243B" w:rsidP="006E243B">
      <w:pPr>
        <w:shd w:val="clear" w:color="auto" w:fill="FFFFFF"/>
        <w:autoSpaceDE w:val="0"/>
        <w:autoSpaceDN w:val="0"/>
        <w:adjustRightInd w:val="0"/>
        <w:jc w:val="center"/>
        <w:rPr>
          <w:spacing w:val="0"/>
          <w:sz w:val="28"/>
          <w:szCs w:val="28"/>
          <w:lang w:val="uk-UA"/>
        </w:rPr>
      </w:pPr>
      <w:r w:rsidRPr="007E0AC1">
        <w:rPr>
          <w:spacing w:val="0"/>
          <w:sz w:val="28"/>
          <w:szCs w:val="28"/>
          <w:lang w:val="uk-UA"/>
        </w:rPr>
        <w:t>Динаміка провідних фондових індексів світу (на кінець періоду)</w:t>
      </w:r>
    </w:p>
    <w:tbl>
      <w:tblPr>
        <w:tblW w:w="9645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05"/>
        <w:gridCol w:w="1395"/>
        <w:gridCol w:w="900"/>
        <w:gridCol w:w="900"/>
        <w:gridCol w:w="900"/>
        <w:gridCol w:w="1080"/>
        <w:gridCol w:w="990"/>
        <w:gridCol w:w="990"/>
        <w:gridCol w:w="1080"/>
        <w:gridCol w:w="1005"/>
      </w:tblGrid>
      <w:tr w:rsidR="000878A0" w:rsidRPr="007E0AC1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80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878A0" w:rsidRPr="007E0AC1" w:rsidRDefault="000878A0" w:rsidP="000878A0">
            <w:pPr>
              <w:shd w:val="clear" w:color="auto" w:fill="FFFFFF"/>
              <w:autoSpaceDE w:val="0"/>
              <w:autoSpaceDN w:val="0"/>
              <w:adjustRightInd w:val="0"/>
              <w:rPr>
                <w:spacing w:val="0"/>
                <w:sz w:val="28"/>
                <w:szCs w:val="28"/>
                <w:lang w:val="uk-UA"/>
              </w:rPr>
            </w:pPr>
          </w:p>
        </w:tc>
        <w:tc>
          <w:tcPr>
            <w:tcW w:w="784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78A0" w:rsidRPr="007E0AC1" w:rsidRDefault="000878A0" w:rsidP="00D37A8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0"/>
                <w:sz w:val="28"/>
                <w:szCs w:val="28"/>
                <w:lang w:val="uk-UA"/>
              </w:rPr>
            </w:pPr>
            <w:r w:rsidRPr="007E0AC1">
              <w:rPr>
                <w:bCs/>
                <w:spacing w:val="0"/>
                <w:sz w:val="28"/>
                <w:szCs w:val="28"/>
                <w:lang w:val="uk-UA"/>
              </w:rPr>
              <w:t>Фондові індекси</w:t>
            </w:r>
          </w:p>
        </w:tc>
      </w:tr>
      <w:tr w:rsidR="000878A0" w:rsidRPr="007E0AC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80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78A0" w:rsidRPr="007E0AC1" w:rsidRDefault="000878A0" w:rsidP="000878A0">
            <w:pPr>
              <w:shd w:val="clear" w:color="auto" w:fill="FFFFFF"/>
              <w:autoSpaceDE w:val="0"/>
              <w:autoSpaceDN w:val="0"/>
              <w:adjustRightInd w:val="0"/>
              <w:rPr>
                <w:spacing w:val="0"/>
                <w:sz w:val="28"/>
                <w:szCs w:val="28"/>
                <w:lang w:val="uk-UA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78A0" w:rsidRPr="007E0AC1" w:rsidRDefault="000878A0" w:rsidP="000878A0">
            <w:pPr>
              <w:shd w:val="clear" w:color="auto" w:fill="FFFFFF"/>
              <w:autoSpaceDE w:val="0"/>
              <w:autoSpaceDN w:val="0"/>
              <w:adjustRightInd w:val="0"/>
              <w:rPr>
                <w:spacing w:val="0"/>
                <w:sz w:val="28"/>
                <w:szCs w:val="28"/>
                <w:lang w:val="uk-UA"/>
              </w:rPr>
            </w:pPr>
            <w:r w:rsidRPr="007E0AC1">
              <w:rPr>
                <w:spacing w:val="0"/>
                <w:sz w:val="28"/>
                <w:szCs w:val="28"/>
                <w:lang w:val="uk-UA"/>
              </w:rPr>
              <w:t>ПФТС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78A0" w:rsidRPr="007E0AC1" w:rsidRDefault="000878A0" w:rsidP="000878A0">
            <w:pPr>
              <w:shd w:val="clear" w:color="auto" w:fill="FFFFFF"/>
              <w:autoSpaceDE w:val="0"/>
              <w:autoSpaceDN w:val="0"/>
              <w:adjustRightInd w:val="0"/>
              <w:rPr>
                <w:spacing w:val="0"/>
                <w:sz w:val="28"/>
                <w:szCs w:val="28"/>
                <w:lang w:val="uk-UA"/>
              </w:rPr>
            </w:pPr>
            <w:r w:rsidRPr="007E0AC1">
              <w:rPr>
                <w:bCs/>
                <w:spacing w:val="0"/>
                <w:sz w:val="28"/>
                <w:szCs w:val="28"/>
                <w:lang w:val="uk-UA"/>
              </w:rPr>
              <w:t>RTS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78A0" w:rsidRPr="007E0AC1" w:rsidRDefault="000878A0" w:rsidP="000878A0">
            <w:pPr>
              <w:shd w:val="clear" w:color="auto" w:fill="FFFFFF"/>
              <w:autoSpaceDE w:val="0"/>
              <w:autoSpaceDN w:val="0"/>
              <w:adjustRightInd w:val="0"/>
              <w:rPr>
                <w:spacing w:val="0"/>
                <w:sz w:val="28"/>
                <w:szCs w:val="28"/>
                <w:lang w:val="uk-UA"/>
              </w:rPr>
            </w:pPr>
            <w:r w:rsidRPr="007E0AC1">
              <w:rPr>
                <w:bCs/>
                <w:spacing w:val="0"/>
                <w:sz w:val="28"/>
                <w:szCs w:val="28"/>
                <w:lang w:val="uk-UA"/>
              </w:rPr>
              <w:t>DAX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78A0" w:rsidRPr="007E0AC1" w:rsidRDefault="000878A0" w:rsidP="000878A0">
            <w:pPr>
              <w:shd w:val="clear" w:color="auto" w:fill="FFFFFF"/>
              <w:autoSpaceDE w:val="0"/>
              <w:autoSpaceDN w:val="0"/>
              <w:adjustRightInd w:val="0"/>
              <w:rPr>
                <w:spacing w:val="0"/>
                <w:sz w:val="28"/>
                <w:szCs w:val="28"/>
                <w:lang w:val="uk-UA"/>
              </w:rPr>
            </w:pPr>
            <w:r w:rsidRPr="007E0AC1">
              <w:rPr>
                <w:spacing w:val="0"/>
                <w:sz w:val="28"/>
                <w:szCs w:val="28"/>
                <w:lang w:val="uk-UA"/>
              </w:rPr>
              <w:t>S&amp;P500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78A0" w:rsidRPr="007E0AC1" w:rsidRDefault="000878A0" w:rsidP="000878A0">
            <w:pPr>
              <w:shd w:val="clear" w:color="auto" w:fill="FFFFFF"/>
              <w:autoSpaceDE w:val="0"/>
              <w:autoSpaceDN w:val="0"/>
              <w:adjustRightInd w:val="0"/>
              <w:rPr>
                <w:spacing w:val="0"/>
                <w:sz w:val="28"/>
                <w:szCs w:val="28"/>
                <w:lang w:val="uk-UA"/>
              </w:rPr>
            </w:pPr>
            <w:r w:rsidRPr="007E0AC1">
              <w:rPr>
                <w:bCs/>
                <w:spacing w:val="0"/>
                <w:sz w:val="28"/>
                <w:szCs w:val="28"/>
                <w:lang w:val="uk-UA"/>
              </w:rPr>
              <w:t>DJI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78A0" w:rsidRPr="007E0AC1" w:rsidRDefault="000878A0" w:rsidP="000878A0">
            <w:pPr>
              <w:shd w:val="clear" w:color="auto" w:fill="FFFFFF"/>
              <w:autoSpaceDE w:val="0"/>
              <w:autoSpaceDN w:val="0"/>
              <w:adjustRightInd w:val="0"/>
              <w:rPr>
                <w:spacing w:val="0"/>
                <w:sz w:val="28"/>
                <w:szCs w:val="28"/>
                <w:lang w:val="uk-UA"/>
              </w:rPr>
            </w:pPr>
            <w:r w:rsidRPr="007E0AC1">
              <w:rPr>
                <w:bCs/>
                <w:spacing w:val="0"/>
                <w:sz w:val="28"/>
                <w:szCs w:val="28"/>
                <w:lang w:val="uk-UA"/>
              </w:rPr>
              <w:t>Nasdaq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78A0" w:rsidRPr="007E0AC1" w:rsidRDefault="000878A0" w:rsidP="000878A0">
            <w:pPr>
              <w:shd w:val="clear" w:color="auto" w:fill="FFFFFF"/>
              <w:autoSpaceDE w:val="0"/>
              <w:autoSpaceDN w:val="0"/>
              <w:adjustRightInd w:val="0"/>
              <w:rPr>
                <w:spacing w:val="0"/>
                <w:sz w:val="28"/>
                <w:szCs w:val="28"/>
                <w:lang w:val="uk-UA"/>
              </w:rPr>
            </w:pPr>
            <w:r w:rsidRPr="007E0AC1">
              <w:rPr>
                <w:spacing w:val="0"/>
                <w:sz w:val="28"/>
                <w:szCs w:val="28"/>
                <w:lang w:val="uk-UA"/>
              </w:rPr>
              <w:t>Nikkei 225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78A0" w:rsidRPr="007E0AC1" w:rsidRDefault="000878A0" w:rsidP="000878A0">
            <w:pPr>
              <w:shd w:val="clear" w:color="auto" w:fill="FFFFFF"/>
              <w:autoSpaceDE w:val="0"/>
              <w:autoSpaceDN w:val="0"/>
              <w:adjustRightInd w:val="0"/>
              <w:rPr>
                <w:spacing w:val="0"/>
                <w:sz w:val="28"/>
                <w:szCs w:val="28"/>
                <w:lang w:val="uk-UA"/>
              </w:rPr>
            </w:pPr>
            <w:r w:rsidRPr="007E0AC1">
              <w:rPr>
                <w:spacing w:val="0"/>
                <w:sz w:val="28"/>
                <w:szCs w:val="28"/>
                <w:lang w:val="uk-UA"/>
              </w:rPr>
              <w:t>SSE</w:t>
            </w:r>
          </w:p>
        </w:tc>
      </w:tr>
      <w:tr w:rsidR="000878A0" w:rsidRPr="007E0AC1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78A0" w:rsidRPr="007E0AC1" w:rsidRDefault="000878A0" w:rsidP="000878A0">
            <w:pPr>
              <w:shd w:val="clear" w:color="auto" w:fill="FFFFFF"/>
              <w:autoSpaceDE w:val="0"/>
              <w:autoSpaceDN w:val="0"/>
              <w:adjustRightInd w:val="0"/>
              <w:rPr>
                <w:spacing w:val="0"/>
                <w:sz w:val="28"/>
                <w:szCs w:val="28"/>
                <w:lang w:val="uk-UA"/>
              </w:rPr>
            </w:pPr>
            <w:r w:rsidRPr="007E0AC1">
              <w:rPr>
                <w:spacing w:val="0"/>
                <w:sz w:val="28"/>
                <w:szCs w:val="28"/>
                <w:lang w:val="uk-UA"/>
              </w:rPr>
              <w:t>2005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78A0" w:rsidRPr="007E0AC1" w:rsidRDefault="000878A0" w:rsidP="000878A0">
            <w:pPr>
              <w:shd w:val="clear" w:color="auto" w:fill="FFFFFF"/>
              <w:autoSpaceDE w:val="0"/>
              <w:autoSpaceDN w:val="0"/>
              <w:adjustRightInd w:val="0"/>
              <w:rPr>
                <w:spacing w:val="0"/>
                <w:sz w:val="28"/>
                <w:szCs w:val="28"/>
                <w:lang w:val="uk-UA"/>
              </w:rPr>
            </w:pPr>
            <w:r w:rsidRPr="007E0AC1">
              <w:rPr>
                <w:spacing w:val="0"/>
                <w:sz w:val="28"/>
                <w:szCs w:val="28"/>
                <w:lang w:val="uk-UA"/>
              </w:rPr>
              <w:t>353,0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78A0" w:rsidRPr="007E0AC1" w:rsidRDefault="000878A0" w:rsidP="000878A0">
            <w:pPr>
              <w:shd w:val="clear" w:color="auto" w:fill="FFFFFF"/>
              <w:autoSpaceDE w:val="0"/>
              <w:autoSpaceDN w:val="0"/>
              <w:adjustRightInd w:val="0"/>
              <w:rPr>
                <w:spacing w:val="0"/>
                <w:sz w:val="28"/>
                <w:szCs w:val="28"/>
                <w:lang w:val="uk-UA"/>
              </w:rPr>
            </w:pPr>
            <w:r w:rsidRPr="007E0AC1">
              <w:rPr>
                <w:spacing w:val="0"/>
                <w:sz w:val="28"/>
                <w:szCs w:val="28"/>
                <w:lang w:val="uk-UA"/>
              </w:rPr>
              <w:t>1126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78A0" w:rsidRPr="007E0AC1" w:rsidRDefault="000878A0" w:rsidP="000878A0">
            <w:pPr>
              <w:shd w:val="clear" w:color="auto" w:fill="FFFFFF"/>
              <w:autoSpaceDE w:val="0"/>
              <w:autoSpaceDN w:val="0"/>
              <w:adjustRightInd w:val="0"/>
              <w:rPr>
                <w:spacing w:val="0"/>
                <w:sz w:val="28"/>
                <w:szCs w:val="28"/>
                <w:lang w:val="uk-UA"/>
              </w:rPr>
            </w:pPr>
            <w:r w:rsidRPr="007E0AC1">
              <w:rPr>
                <w:spacing w:val="0"/>
                <w:sz w:val="28"/>
                <w:szCs w:val="28"/>
                <w:lang w:val="uk-UA"/>
              </w:rPr>
              <w:t>5408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78A0" w:rsidRPr="007E0AC1" w:rsidRDefault="000878A0" w:rsidP="000878A0">
            <w:pPr>
              <w:shd w:val="clear" w:color="auto" w:fill="FFFFFF"/>
              <w:autoSpaceDE w:val="0"/>
              <w:autoSpaceDN w:val="0"/>
              <w:adjustRightInd w:val="0"/>
              <w:rPr>
                <w:spacing w:val="0"/>
                <w:sz w:val="28"/>
                <w:szCs w:val="28"/>
                <w:lang w:val="uk-UA"/>
              </w:rPr>
            </w:pPr>
            <w:r w:rsidRPr="007E0AC1">
              <w:rPr>
                <w:spacing w:val="0"/>
                <w:sz w:val="28"/>
                <w:szCs w:val="28"/>
                <w:lang w:val="uk-UA"/>
              </w:rPr>
              <w:t>1248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78A0" w:rsidRPr="007E0AC1" w:rsidRDefault="000878A0" w:rsidP="000878A0">
            <w:pPr>
              <w:shd w:val="clear" w:color="auto" w:fill="FFFFFF"/>
              <w:autoSpaceDE w:val="0"/>
              <w:autoSpaceDN w:val="0"/>
              <w:adjustRightInd w:val="0"/>
              <w:rPr>
                <w:spacing w:val="0"/>
                <w:sz w:val="28"/>
                <w:szCs w:val="28"/>
                <w:lang w:val="uk-UA"/>
              </w:rPr>
            </w:pPr>
            <w:r w:rsidRPr="007E0AC1">
              <w:rPr>
                <w:spacing w:val="0"/>
                <w:sz w:val="28"/>
                <w:szCs w:val="28"/>
                <w:lang w:val="uk-UA"/>
              </w:rPr>
              <w:t>10718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78A0" w:rsidRPr="007E0AC1" w:rsidRDefault="000878A0" w:rsidP="000878A0">
            <w:pPr>
              <w:shd w:val="clear" w:color="auto" w:fill="FFFFFF"/>
              <w:autoSpaceDE w:val="0"/>
              <w:autoSpaceDN w:val="0"/>
              <w:adjustRightInd w:val="0"/>
              <w:rPr>
                <w:spacing w:val="0"/>
                <w:sz w:val="28"/>
                <w:szCs w:val="28"/>
                <w:lang w:val="uk-UA"/>
              </w:rPr>
            </w:pPr>
            <w:r w:rsidRPr="007E0AC1">
              <w:rPr>
                <w:spacing w:val="0"/>
                <w:sz w:val="28"/>
                <w:szCs w:val="28"/>
                <w:lang w:val="uk-UA"/>
              </w:rPr>
              <w:t>2205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78A0" w:rsidRPr="007E0AC1" w:rsidRDefault="000878A0" w:rsidP="000878A0">
            <w:pPr>
              <w:shd w:val="clear" w:color="auto" w:fill="FFFFFF"/>
              <w:autoSpaceDE w:val="0"/>
              <w:autoSpaceDN w:val="0"/>
              <w:adjustRightInd w:val="0"/>
              <w:rPr>
                <w:spacing w:val="0"/>
                <w:sz w:val="28"/>
                <w:szCs w:val="28"/>
                <w:lang w:val="uk-UA"/>
              </w:rPr>
            </w:pPr>
            <w:r w:rsidRPr="007E0AC1">
              <w:rPr>
                <w:spacing w:val="0"/>
                <w:sz w:val="28"/>
                <w:szCs w:val="28"/>
                <w:lang w:val="uk-UA"/>
              </w:rPr>
              <w:t>16111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78A0" w:rsidRPr="007E0AC1" w:rsidRDefault="000878A0" w:rsidP="000878A0">
            <w:pPr>
              <w:shd w:val="clear" w:color="auto" w:fill="FFFFFF"/>
              <w:autoSpaceDE w:val="0"/>
              <w:autoSpaceDN w:val="0"/>
              <w:adjustRightInd w:val="0"/>
              <w:rPr>
                <w:spacing w:val="0"/>
                <w:sz w:val="28"/>
                <w:szCs w:val="28"/>
                <w:lang w:val="uk-UA"/>
              </w:rPr>
            </w:pPr>
            <w:r w:rsidRPr="007E0AC1">
              <w:rPr>
                <w:spacing w:val="0"/>
                <w:sz w:val="28"/>
                <w:szCs w:val="28"/>
                <w:lang w:val="uk-UA"/>
              </w:rPr>
              <w:t>1161</w:t>
            </w:r>
          </w:p>
        </w:tc>
      </w:tr>
      <w:tr w:rsidR="000878A0" w:rsidRPr="007E0AC1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78A0" w:rsidRPr="007E0AC1" w:rsidRDefault="000878A0" w:rsidP="000878A0">
            <w:pPr>
              <w:shd w:val="clear" w:color="auto" w:fill="FFFFFF"/>
              <w:autoSpaceDE w:val="0"/>
              <w:autoSpaceDN w:val="0"/>
              <w:adjustRightInd w:val="0"/>
              <w:rPr>
                <w:spacing w:val="0"/>
                <w:sz w:val="28"/>
                <w:szCs w:val="28"/>
                <w:lang w:val="uk-UA"/>
              </w:rPr>
            </w:pPr>
            <w:r w:rsidRPr="007E0AC1">
              <w:rPr>
                <w:spacing w:val="0"/>
                <w:sz w:val="28"/>
                <w:szCs w:val="28"/>
                <w:lang w:val="uk-UA"/>
              </w:rPr>
              <w:t>2006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78A0" w:rsidRPr="007E0AC1" w:rsidRDefault="000878A0" w:rsidP="000878A0">
            <w:pPr>
              <w:shd w:val="clear" w:color="auto" w:fill="FFFFFF"/>
              <w:autoSpaceDE w:val="0"/>
              <w:autoSpaceDN w:val="0"/>
              <w:adjustRightInd w:val="0"/>
              <w:rPr>
                <w:spacing w:val="0"/>
                <w:sz w:val="28"/>
                <w:szCs w:val="28"/>
                <w:lang w:val="uk-UA"/>
              </w:rPr>
            </w:pPr>
            <w:r w:rsidRPr="007E0AC1">
              <w:rPr>
                <w:spacing w:val="0"/>
                <w:sz w:val="28"/>
                <w:szCs w:val="28"/>
                <w:lang w:val="uk-UA"/>
              </w:rPr>
              <w:t>493,9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78A0" w:rsidRPr="007E0AC1" w:rsidRDefault="000878A0" w:rsidP="000878A0">
            <w:pPr>
              <w:shd w:val="clear" w:color="auto" w:fill="FFFFFF"/>
              <w:autoSpaceDE w:val="0"/>
              <w:autoSpaceDN w:val="0"/>
              <w:adjustRightInd w:val="0"/>
              <w:rPr>
                <w:spacing w:val="0"/>
                <w:sz w:val="28"/>
                <w:szCs w:val="28"/>
                <w:lang w:val="uk-UA"/>
              </w:rPr>
            </w:pPr>
            <w:r w:rsidRPr="007E0AC1">
              <w:rPr>
                <w:spacing w:val="0"/>
                <w:sz w:val="28"/>
                <w:szCs w:val="28"/>
                <w:lang w:val="uk-UA"/>
              </w:rPr>
              <w:t>1910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78A0" w:rsidRPr="007E0AC1" w:rsidRDefault="000878A0" w:rsidP="000878A0">
            <w:pPr>
              <w:shd w:val="clear" w:color="auto" w:fill="FFFFFF"/>
              <w:autoSpaceDE w:val="0"/>
              <w:autoSpaceDN w:val="0"/>
              <w:adjustRightInd w:val="0"/>
              <w:rPr>
                <w:spacing w:val="0"/>
                <w:sz w:val="28"/>
                <w:szCs w:val="28"/>
                <w:lang w:val="uk-UA"/>
              </w:rPr>
            </w:pPr>
            <w:r w:rsidRPr="007E0AC1">
              <w:rPr>
                <w:spacing w:val="0"/>
                <w:sz w:val="28"/>
                <w:szCs w:val="28"/>
                <w:lang w:val="uk-UA"/>
              </w:rPr>
              <w:t>6597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78A0" w:rsidRPr="007E0AC1" w:rsidRDefault="000878A0" w:rsidP="000878A0">
            <w:pPr>
              <w:shd w:val="clear" w:color="auto" w:fill="FFFFFF"/>
              <w:autoSpaceDE w:val="0"/>
              <w:autoSpaceDN w:val="0"/>
              <w:adjustRightInd w:val="0"/>
              <w:rPr>
                <w:spacing w:val="0"/>
                <w:sz w:val="28"/>
                <w:szCs w:val="28"/>
                <w:lang w:val="uk-UA"/>
              </w:rPr>
            </w:pPr>
            <w:r w:rsidRPr="007E0AC1">
              <w:rPr>
                <w:spacing w:val="0"/>
                <w:sz w:val="28"/>
                <w:szCs w:val="28"/>
                <w:lang w:val="uk-UA"/>
              </w:rPr>
              <w:t>1418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78A0" w:rsidRPr="007E0AC1" w:rsidRDefault="000878A0" w:rsidP="000878A0">
            <w:pPr>
              <w:shd w:val="clear" w:color="auto" w:fill="FFFFFF"/>
              <w:autoSpaceDE w:val="0"/>
              <w:autoSpaceDN w:val="0"/>
              <w:adjustRightInd w:val="0"/>
              <w:rPr>
                <w:spacing w:val="0"/>
                <w:sz w:val="28"/>
                <w:szCs w:val="28"/>
                <w:lang w:val="uk-UA"/>
              </w:rPr>
            </w:pPr>
            <w:r w:rsidRPr="007E0AC1">
              <w:rPr>
                <w:spacing w:val="0"/>
                <w:sz w:val="28"/>
                <w:szCs w:val="28"/>
                <w:lang w:val="uk-UA"/>
              </w:rPr>
              <w:t>12463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78A0" w:rsidRPr="007E0AC1" w:rsidRDefault="000878A0" w:rsidP="000878A0">
            <w:pPr>
              <w:shd w:val="clear" w:color="auto" w:fill="FFFFFF"/>
              <w:autoSpaceDE w:val="0"/>
              <w:autoSpaceDN w:val="0"/>
              <w:adjustRightInd w:val="0"/>
              <w:rPr>
                <w:spacing w:val="0"/>
                <w:sz w:val="28"/>
                <w:szCs w:val="28"/>
                <w:lang w:val="uk-UA"/>
              </w:rPr>
            </w:pPr>
            <w:r w:rsidRPr="007E0AC1">
              <w:rPr>
                <w:spacing w:val="0"/>
                <w:sz w:val="28"/>
                <w:szCs w:val="28"/>
                <w:lang w:val="uk-UA"/>
              </w:rPr>
              <w:t>2415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78A0" w:rsidRPr="007E0AC1" w:rsidRDefault="000878A0" w:rsidP="000878A0">
            <w:pPr>
              <w:shd w:val="clear" w:color="auto" w:fill="FFFFFF"/>
              <w:autoSpaceDE w:val="0"/>
              <w:autoSpaceDN w:val="0"/>
              <w:adjustRightInd w:val="0"/>
              <w:rPr>
                <w:spacing w:val="0"/>
                <w:sz w:val="28"/>
                <w:szCs w:val="28"/>
                <w:lang w:val="uk-UA"/>
              </w:rPr>
            </w:pPr>
            <w:r w:rsidRPr="007E0AC1">
              <w:rPr>
                <w:spacing w:val="0"/>
                <w:sz w:val="28"/>
                <w:szCs w:val="28"/>
                <w:lang w:val="uk-UA"/>
              </w:rPr>
              <w:t>17226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78A0" w:rsidRPr="007E0AC1" w:rsidRDefault="000878A0" w:rsidP="000878A0">
            <w:pPr>
              <w:shd w:val="clear" w:color="auto" w:fill="FFFFFF"/>
              <w:autoSpaceDE w:val="0"/>
              <w:autoSpaceDN w:val="0"/>
              <w:adjustRightInd w:val="0"/>
              <w:rPr>
                <w:spacing w:val="0"/>
                <w:sz w:val="28"/>
                <w:szCs w:val="28"/>
                <w:lang w:val="uk-UA"/>
              </w:rPr>
            </w:pPr>
            <w:r w:rsidRPr="007E0AC1">
              <w:rPr>
                <w:spacing w:val="0"/>
                <w:sz w:val="28"/>
                <w:szCs w:val="28"/>
                <w:lang w:val="uk-UA"/>
              </w:rPr>
              <w:t>2675</w:t>
            </w:r>
          </w:p>
        </w:tc>
      </w:tr>
      <w:tr w:rsidR="000878A0" w:rsidRPr="007E0AC1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78A0" w:rsidRPr="007E0AC1" w:rsidRDefault="000878A0" w:rsidP="000878A0">
            <w:pPr>
              <w:shd w:val="clear" w:color="auto" w:fill="FFFFFF"/>
              <w:autoSpaceDE w:val="0"/>
              <w:autoSpaceDN w:val="0"/>
              <w:adjustRightInd w:val="0"/>
              <w:rPr>
                <w:spacing w:val="0"/>
                <w:sz w:val="28"/>
                <w:szCs w:val="28"/>
                <w:lang w:val="uk-UA"/>
              </w:rPr>
            </w:pPr>
            <w:r w:rsidRPr="007E0AC1">
              <w:rPr>
                <w:bCs/>
                <w:spacing w:val="0"/>
                <w:sz w:val="28"/>
                <w:szCs w:val="28"/>
                <w:lang w:val="uk-UA"/>
              </w:rPr>
              <w:t>2007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78A0" w:rsidRPr="007E0AC1" w:rsidRDefault="000878A0" w:rsidP="000878A0">
            <w:pPr>
              <w:shd w:val="clear" w:color="auto" w:fill="FFFFFF"/>
              <w:autoSpaceDE w:val="0"/>
              <w:autoSpaceDN w:val="0"/>
              <w:adjustRightInd w:val="0"/>
              <w:rPr>
                <w:spacing w:val="0"/>
                <w:sz w:val="28"/>
                <w:szCs w:val="28"/>
                <w:lang w:val="uk-UA"/>
              </w:rPr>
            </w:pPr>
            <w:r w:rsidRPr="007E0AC1">
              <w:rPr>
                <w:spacing w:val="0"/>
                <w:sz w:val="28"/>
                <w:szCs w:val="28"/>
                <w:lang w:val="uk-UA"/>
              </w:rPr>
              <w:t>1174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78A0" w:rsidRPr="007E0AC1" w:rsidRDefault="000878A0" w:rsidP="000878A0">
            <w:pPr>
              <w:shd w:val="clear" w:color="auto" w:fill="FFFFFF"/>
              <w:autoSpaceDE w:val="0"/>
              <w:autoSpaceDN w:val="0"/>
              <w:adjustRightInd w:val="0"/>
              <w:rPr>
                <w:spacing w:val="0"/>
                <w:sz w:val="28"/>
                <w:szCs w:val="28"/>
                <w:lang w:val="uk-UA"/>
              </w:rPr>
            </w:pPr>
            <w:r w:rsidRPr="007E0AC1">
              <w:rPr>
                <w:spacing w:val="0"/>
                <w:sz w:val="28"/>
                <w:szCs w:val="28"/>
                <w:lang w:val="uk-UA"/>
              </w:rPr>
              <w:t>2291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78A0" w:rsidRPr="007E0AC1" w:rsidRDefault="000878A0" w:rsidP="000878A0">
            <w:pPr>
              <w:shd w:val="clear" w:color="auto" w:fill="FFFFFF"/>
              <w:autoSpaceDE w:val="0"/>
              <w:autoSpaceDN w:val="0"/>
              <w:adjustRightInd w:val="0"/>
              <w:rPr>
                <w:spacing w:val="0"/>
                <w:sz w:val="28"/>
                <w:szCs w:val="28"/>
                <w:lang w:val="uk-UA"/>
              </w:rPr>
            </w:pPr>
            <w:r w:rsidRPr="007E0AC1">
              <w:rPr>
                <w:spacing w:val="0"/>
                <w:sz w:val="28"/>
                <w:szCs w:val="28"/>
                <w:lang w:val="uk-UA"/>
              </w:rPr>
              <w:t>8067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78A0" w:rsidRPr="007E0AC1" w:rsidRDefault="000878A0" w:rsidP="000878A0">
            <w:pPr>
              <w:shd w:val="clear" w:color="auto" w:fill="FFFFFF"/>
              <w:autoSpaceDE w:val="0"/>
              <w:autoSpaceDN w:val="0"/>
              <w:adjustRightInd w:val="0"/>
              <w:rPr>
                <w:spacing w:val="0"/>
                <w:sz w:val="28"/>
                <w:szCs w:val="28"/>
                <w:lang w:val="uk-UA"/>
              </w:rPr>
            </w:pPr>
            <w:r w:rsidRPr="007E0AC1">
              <w:rPr>
                <w:spacing w:val="0"/>
                <w:sz w:val="28"/>
                <w:szCs w:val="28"/>
                <w:lang w:val="uk-UA"/>
              </w:rPr>
              <w:t>1468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78A0" w:rsidRPr="007E0AC1" w:rsidRDefault="000878A0" w:rsidP="000878A0">
            <w:pPr>
              <w:shd w:val="clear" w:color="auto" w:fill="FFFFFF"/>
              <w:autoSpaceDE w:val="0"/>
              <w:autoSpaceDN w:val="0"/>
              <w:adjustRightInd w:val="0"/>
              <w:rPr>
                <w:spacing w:val="0"/>
                <w:sz w:val="28"/>
                <w:szCs w:val="28"/>
                <w:lang w:val="uk-UA"/>
              </w:rPr>
            </w:pPr>
            <w:r w:rsidRPr="007E0AC1">
              <w:rPr>
                <w:spacing w:val="0"/>
                <w:sz w:val="28"/>
                <w:szCs w:val="28"/>
                <w:lang w:val="uk-UA"/>
              </w:rPr>
              <w:t>13265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78A0" w:rsidRPr="007E0AC1" w:rsidRDefault="000878A0" w:rsidP="000878A0">
            <w:pPr>
              <w:shd w:val="clear" w:color="auto" w:fill="FFFFFF"/>
              <w:autoSpaceDE w:val="0"/>
              <w:autoSpaceDN w:val="0"/>
              <w:adjustRightInd w:val="0"/>
              <w:rPr>
                <w:spacing w:val="0"/>
                <w:sz w:val="28"/>
                <w:szCs w:val="28"/>
                <w:lang w:val="uk-UA"/>
              </w:rPr>
            </w:pPr>
            <w:r w:rsidRPr="007E0AC1">
              <w:rPr>
                <w:spacing w:val="0"/>
                <w:sz w:val="28"/>
                <w:szCs w:val="28"/>
                <w:lang w:val="uk-UA"/>
              </w:rPr>
              <w:t>2652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78A0" w:rsidRPr="007E0AC1" w:rsidRDefault="000878A0" w:rsidP="000878A0">
            <w:pPr>
              <w:shd w:val="clear" w:color="auto" w:fill="FFFFFF"/>
              <w:autoSpaceDE w:val="0"/>
              <w:autoSpaceDN w:val="0"/>
              <w:adjustRightInd w:val="0"/>
              <w:rPr>
                <w:spacing w:val="0"/>
                <w:sz w:val="28"/>
                <w:szCs w:val="28"/>
                <w:lang w:val="uk-UA"/>
              </w:rPr>
            </w:pPr>
            <w:r w:rsidRPr="007E0AC1">
              <w:rPr>
                <w:spacing w:val="0"/>
                <w:sz w:val="28"/>
                <w:szCs w:val="28"/>
                <w:lang w:val="uk-UA"/>
              </w:rPr>
              <w:t>15308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78A0" w:rsidRPr="007E0AC1" w:rsidRDefault="000878A0" w:rsidP="000878A0">
            <w:pPr>
              <w:shd w:val="clear" w:color="auto" w:fill="FFFFFF"/>
              <w:autoSpaceDE w:val="0"/>
              <w:autoSpaceDN w:val="0"/>
              <w:adjustRightInd w:val="0"/>
              <w:rPr>
                <w:spacing w:val="0"/>
                <w:sz w:val="28"/>
                <w:szCs w:val="28"/>
                <w:lang w:val="uk-UA"/>
              </w:rPr>
            </w:pPr>
            <w:r w:rsidRPr="007E0AC1">
              <w:rPr>
                <w:spacing w:val="0"/>
                <w:sz w:val="28"/>
                <w:szCs w:val="28"/>
                <w:lang w:val="uk-UA"/>
              </w:rPr>
              <w:t>5262</w:t>
            </w:r>
          </w:p>
        </w:tc>
      </w:tr>
      <w:tr w:rsidR="000878A0" w:rsidRPr="007E0AC1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4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0878A0" w:rsidRPr="007E0AC1" w:rsidRDefault="000878A0" w:rsidP="000878A0">
            <w:pPr>
              <w:autoSpaceDE w:val="0"/>
              <w:autoSpaceDN w:val="0"/>
              <w:adjustRightInd w:val="0"/>
              <w:ind w:left="113" w:right="113"/>
              <w:jc w:val="center"/>
              <w:rPr>
                <w:spacing w:val="0"/>
                <w:sz w:val="28"/>
                <w:szCs w:val="28"/>
                <w:lang w:val="uk-UA"/>
              </w:rPr>
            </w:pPr>
            <w:r w:rsidRPr="007E0AC1">
              <w:rPr>
                <w:spacing w:val="0"/>
                <w:sz w:val="28"/>
                <w:szCs w:val="28"/>
                <w:lang w:val="uk-UA"/>
              </w:rPr>
              <w:t>2008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78A0" w:rsidRPr="007E0AC1" w:rsidRDefault="000878A0" w:rsidP="000878A0">
            <w:pPr>
              <w:shd w:val="clear" w:color="auto" w:fill="FFFFFF"/>
              <w:autoSpaceDE w:val="0"/>
              <w:autoSpaceDN w:val="0"/>
              <w:adjustRightInd w:val="0"/>
              <w:rPr>
                <w:spacing w:val="0"/>
                <w:sz w:val="28"/>
                <w:szCs w:val="28"/>
                <w:lang w:val="uk-UA"/>
              </w:rPr>
            </w:pPr>
            <w:r w:rsidRPr="007E0AC1">
              <w:rPr>
                <w:spacing w:val="0"/>
                <w:sz w:val="28"/>
                <w:szCs w:val="28"/>
                <w:lang w:val="uk-UA"/>
              </w:rPr>
              <w:t>Січень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78A0" w:rsidRPr="007E0AC1" w:rsidRDefault="000878A0" w:rsidP="000878A0">
            <w:pPr>
              <w:shd w:val="clear" w:color="auto" w:fill="FFFFFF"/>
              <w:autoSpaceDE w:val="0"/>
              <w:autoSpaceDN w:val="0"/>
              <w:adjustRightInd w:val="0"/>
              <w:rPr>
                <w:spacing w:val="0"/>
                <w:sz w:val="28"/>
                <w:szCs w:val="28"/>
                <w:lang w:val="uk-UA"/>
              </w:rPr>
            </w:pPr>
            <w:r w:rsidRPr="007E0AC1">
              <w:rPr>
                <w:spacing w:val="0"/>
                <w:sz w:val="28"/>
                <w:szCs w:val="28"/>
                <w:lang w:val="uk-UA"/>
              </w:rPr>
              <w:t>1094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78A0" w:rsidRPr="007E0AC1" w:rsidRDefault="000878A0" w:rsidP="000878A0">
            <w:pPr>
              <w:shd w:val="clear" w:color="auto" w:fill="FFFFFF"/>
              <w:autoSpaceDE w:val="0"/>
              <w:autoSpaceDN w:val="0"/>
              <w:adjustRightInd w:val="0"/>
              <w:rPr>
                <w:spacing w:val="0"/>
                <w:sz w:val="28"/>
                <w:szCs w:val="28"/>
                <w:lang w:val="uk-UA"/>
              </w:rPr>
            </w:pPr>
            <w:r w:rsidRPr="007E0AC1">
              <w:rPr>
                <w:spacing w:val="0"/>
                <w:sz w:val="28"/>
                <w:szCs w:val="28"/>
                <w:lang w:val="uk-UA"/>
              </w:rPr>
              <w:t>1</w:t>
            </w:r>
            <w:r w:rsidRPr="007E0AC1">
              <w:rPr>
                <w:bCs/>
                <w:spacing w:val="0"/>
                <w:sz w:val="28"/>
                <w:szCs w:val="28"/>
                <w:lang w:val="uk-UA"/>
              </w:rPr>
              <w:t>907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78A0" w:rsidRPr="007E0AC1" w:rsidRDefault="000878A0" w:rsidP="000878A0">
            <w:pPr>
              <w:shd w:val="clear" w:color="auto" w:fill="FFFFFF"/>
              <w:autoSpaceDE w:val="0"/>
              <w:autoSpaceDN w:val="0"/>
              <w:adjustRightInd w:val="0"/>
              <w:rPr>
                <w:spacing w:val="0"/>
                <w:sz w:val="28"/>
                <w:szCs w:val="28"/>
                <w:lang w:val="uk-UA"/>
              </w:rPr>
            </w:pPr>
            <w:r w:rsidRPr="007E0AC1">
              <w:rPr>
                <w:spacing w:val="0"/>
                <w:sz w:val="28"/>
                <w:szCs w:val="28"/>
                <w:lang w:val="uk-UA"/>
              </w:rPr>
              <w:t>6352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78A0" w:rsidRPr="007E0AC1" w:rsidRDefault="000878A0" w:rsidP="000878A0">
            <w:pPr>
              <w:shd w:val="clear" w:color="auto" w:fill="FFFFFF"/>
              <w:autoSpaceDE w:val="0"/>
              <w:autoSpaceDN w:val="0"/>
              <w:adjustRightInd w:val="0"/>
              <w:rPr>
                <w:spacing w:val="0"/>
                <w:sz w:val="28"/>
                <w:szCs w:val="28"/>
                <w:lang w:val="uk-UA"/>
              </w:rPr>
            </w:pPr>
            <w:r w:rsidRPr="007E0AC1">
              <w:rPr>
                <w:spacing w:val="0"/>
                <w:sz w:val="28"/>
                <w:szCs w:val="28"/>
                <w:lang w:val="uk-UA"/>
              </w:rPr>
              <w:t>1379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78A0" w:rsidRPr="007E0AC1" w:rsidRDefault="000878A0" w:rsidP="000878A0">
            <w:pPr>
              <w:shd w:val="clear" w:color="auto" w:fill="FFFFFF"/>
              <w:autoSpaceDE w:val="0"/>
              <w:autoSpaceDN w:val="0"/>
              <w:adjustRightInd w:val="0"/>
              <w:rPr>
                <w:spacing w:val="0"/>
                <w:sz w:val="28"/>
                <w:szCs w:val="28"/>
                <w:lang w:val="uk-UA"/>
              </w:rPr>
            </w:pPr>
            <w:r w:rsidRPr="007E0AC1">
              <w:rPr>
                <w:spacing w:val="0"/>
                <w:sz w:val="28"/>
                <w:szCs w:val="28"/>
                <w:lang w:val="uk-UA"/>
              </w:rPr>
              <w:t>12650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78A0" w:rsidRPr="007E0AC1" w:rsidRDefault="000878A0" w:rsidP="000878A0">
            <w:pPr>
              <w:shd w:val="clear" w:color="auto" w:fill="FFFFFF"/>
              <w:autoSpaceDE w:val="0"/>
              <w:autoSpaceDN w:val="0"/>
              <w:adjustRightInd w:val="0"/>
              <w:rPr>
                <w:spacing w:val="0"/>
                <w:sz w:val="28"/>
                <w:szCs w:val="28"/>
                <w:lang w:val="uk-UA"/>
              </w:rPr>
            </w:pPr>
            <w:r w:rsidRPr="007E0AC1">
              <w:rPr>
                <w:spacing w:val="0"/>
                <w:sz w:val="28"/>
                <w:szCs w:val="28"/>
                <w:lang w:val="uk-UA"/>
              </w:rPr>
              <w:t>2390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78A0" w:rsidRPr="007E0AC1" w:rsidRDefault="000878A0" w:rsidP="000878A0">
            <w:pPr>
              <w:shd w:val="clear" w:color="auto" w:fill="FFFFFF"/>
              <w:autoSpaceDE w:val="0"/>
              <w:autoSpaceDN w:val="0"/>
              <w:adjustRightInd w:val="0"/>
              <w:rPr>
                <w:spacing w:val="0"/>
                <w:sz w:val="28"/>
                <w:szCs w:val="28"/>
                <w:lang w:val="uk-UA"/>
              </w:rPr>
            </w:pPr>
            <w:r w:rsidRPr="007E0AC1">
              <w:rPr>
                <w:spacing w:val="0"/>
                <w:sz w:val="28"/>
                <w:szCs w:val="28"/>
                <w:lang w:val="uk-UA"/>
              </w:rPr>
              <w:t>13592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78A0" w:rsidRPr="007E0AC1" w:rsidRDefault="000878A0" w:rsidP="000878A0">
            <w:pPr>
              <w:shd w:val="clear" w:color="auto" w:fill="FFFFFF"/>
              <w:autoSpaceDE w:val="0"/>
              <w:autoSpaceDN w:val="0"/>
              <w:adjustRightInd w:val="0"/>
              <w:rPr>
                <w:spacing w:val="0"/>
                <w:sz w:val="28"/>
                <w:szCs w:val="28"/>
                <w:lang w:val="uk-UA"/>
              </w:rPr>
            </w:pPr>
            <w:r w:rsidRPr="007E0AC1">
              <w:rPr>
                <w:spacing w:val="0"/>
                <w:sz w:val="28"/>
                <w:szCs w:val="28"/>
                <w:lang w:val="uk-UA"/>
              </w:rPr>
              <w:t>4383</w:t>
            </w:r>
          </w:p>
        </w:tc>
      </w:tr>
      <w:tr w:rsidR="000878A0" w:rsidRPr="007E0AC1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0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878A0" w:rsidRPr="007E0AC1" w:rsidRDefault="000878A0" w:rsidP="000878A0">
            <w:pPr>
              <w:autoSpaceDE w:val="0"/>
              <w:autoSpaceDN w:val="0"/>
              <w:adjustRightInd w:val="0"/>
              <w:rPr>
                <w:spacing w:val="0"/>
                <w:sz w:val="28"/>
                <w:szCs w:val="28"/>
                <w:lang w:val="uk-UA"/>
              </w:rPr>
            </w:pP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78A0" w:rsidRPr="007E0AC1" w:rsidRDefault="000878A0" w:rsidP="000878A0">
            <w:pPr>
              <w:shd w:val="clear" w:color="auto" w:fill="FFFFFF"/>
              <w:autoSpaceDE w:val="0"/>
              <w:autoSpaceDN w:val="0"/>
              <w:adjustRightInd w:val="0"/>
              <w:rPr>
                <w:spacing w:val="0"/>
                <w:sz w:val="28"/>
                <w:szCs w:val="28"/>
                <w:lang w:val="uk-UA"/>
              </w:rPr>
            </w:pPr>
            <w:r w:rsidRPr="007E0AC1">
              <w:rPr>
                <w:spacing w:val="0"/>
                <w:sz w:val="28"/>
                <w:szCs w:val="28"/>
                <w:lang w:val="uk-UA"/>
              </w:rPr>
              <w:t>Лютий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78A0" w:rsidRPr="007E0AC1" w:rsidRDefault="000878A0" w:rsidP="000878A0">
            <w:pPr>
              <w:shd w:val="clear" w:color="auto" w:fill="FFFFFF"/>
              <w:autoSpaceDE w:val="0"/>
              <w:autoSpaceDN w:val="0"/>
              <w:adjustRightInd w:val="0"/>
              <w:rPr>
                <w:spacing w:val="0"/>
                <w:sz w:val="28"/>
                <w:szCs w:val="28"/>
                <w:lang w:val="uk-UA"/>
              </w:rPr>
            </w:pPr>
            <w:r w:rsidRPr="007E0AC1">
              <w:rPr>
                <w:spacing w:val="0"/>
                <w:sz w:val="28"/>
                <w:szCs w:val="28"/>
                <w:lang w:val="uk-UA"/>
              </w:rPr>
              <w:t>1102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78A0" w:rsidRPr="007E0AC1" w:rsidRDefault="000878A0" w:rsidP="000878A0">
            <w:pPr>
              <w:shd w:val="clear" w:color="auto" w:fill="FFFFFF"/>
              <w:autoSpaceDE w:val="0"/>
              <w:autoSpaceDN w:val="0"/>
              <w:adjustRightInd w:val="0"/>
              <w:rPr>
                <w:spacing w:val="0"/>
                <w:sz w:val="28"/>
                <w:szCs w:val="28"/>
                <w:lang w:val="uk-UA"/>
              </w:rPr>
            </w:pPr>
            <w:r w:rsidRPr="007E0AC1">
              <w:rPr>
                <w:spacing w:val="0"/>
                <w:sz w:val="28"/>
                <w:szCs w:val="28"/>
                <w:lang w:val="uk-UA"/>
              </w:rPr>
              <w:t>2064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78A0" w:rsidRPr="007E0AC1" w:rsidRDefault="000878A0" w:rsidP="000878A0">
            <w:pPr>
              <w:shd w:val="clear" w:color="auto" w:fill="FFFFFF"/>
              <w:autoSpaceDE w:val="0"/>
              <w:autoSpaceDN w:val="0"/>
              <w:adjustRightInd w:val="0"/>
              <w:rPr>
                <w:spacing w:val="0"/>
                <w:sz w:val="28"/>
                <w:szCs w:val="28"/>
                <w:lang w:val="uk-UA"/>
              </w:rPr>
            </w:pPr>
            <w:r w:rsidRPr="007E0AC1">
              <w:rPr>
                <w:spacing w:val="0"/>
                <w:sz w:val="28"/>
                <w:szCs w:val="28"/>
                <w:lang w:val="uk-UA"/>
              </w:rPr>
              <w:t>6748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78A0" w:rsidRPr="007E0AC1" w:rsidRDefault="000878A0" w:rsidP="000878A0">
            <w:pPr>
              <w:shd w:val="clear" w:color="auto" w:fill="FFFFFF"/>
              <w:autoSpaceDE w:val="0"/>
              <w:autoSpaceDN w:val="0"/>
              <w:adjustRightInd w:val="0"/>
              <w:rPr>
                <w:spacing w:val="0"/>
                <w:sz w:val="28"/>
                <w:szCs w:val="28"/>
                <w:lang w:val="uk-UA"/>
              </w:rPr>
            </w:pPr>
            <w:r w:rsidRPr="007E0AC1">
              <w:rPr>
                <w:spacing w:val="0"/>
                <w:sz w:val="28"/>
                <w:szCs w:val="28"/>
                <w:lang w:val="uk-UA"/>
              </w:rPr>
              <w:t>1331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78A0" w:rsidRPr="007E0AC1" w:rsidRDefault="000878A0" w:rsidP="000878A0">
            <w:pPr>
              <w:shd w:val="clear" w:color="auto" w:fill="FFFFFF"/>
              <w:autoSpaceDE w:val="0"/>
              <w:autoSpaceDN w:val="0"/>
              <w:adjustRightInd w:val="0"/>
              <w:rPr>
                <w:spacing w:val="0"/>
                <w:sz w:val="28"/>
                <w:szCs w:val="28"/>
                <w:lang w:val="uk-UA"/>
              </w:rPr>
            </w:pPr>
            <w:r w:rsidRPr="007E0AC1">
              <w:rPr>
                <w:spacing w:val="0"/>
                <w:sz w:val="28"/>
                <w:szCs w:val="28"/>
                <w:lang w:val="uk-UA"/>
              </w:rPr>
              <w:t>12266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78A0" w:rsidRPr="007E0AC1" w:rsidRDefault="000878A0" w:rsidP="000878A0">
            <w:pPr>
              <w:shd w:val="clear" w:color="auto" w:fill="FFFFFF"/>
              <w:autoSpaceDE w:val="0"/>
              <w:autoSpaceDN w:val="0"/>
              <w:adjustRightInd w:val="0"/>
              <w:rPr>
                <w:spacing w:val="0"/>
                <w:sz w:val="28"/>
                <w:szCs w:val="28"/>
                <w:lang w:val="uk-UA"/>
              </w:rPr>
            </w:pPr>
            <w:r w:rsidRPr="007E0AC1">
              <w:rPr>
                <w:spacing w:val="0"/>
                <w:sz w:val="28"/>
                <w:szCs w:val="28"/>
                <w:lang w:val="uk-UA"/>
              </w:rPr>
              <w:t>2271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78A0" w:rsidRPr="007E0AC1" w:rsidRDefault="000878A0" w:rsidP="000878A0">
            <w:pPr>
              <w:shd w:val="clear" w:color="auto" w:fill="FFFFFF"/>
              <w:autoSpaceDE w:val="0"/>
              <w:autoSpaceDN w:val="0"/>
              <w:adjustRightInd w:val="0"/>
              <w:rPr>
                <w:spacing w:val="0"/>
                <w:sz w:val="28"/>
                <w:szCs w:val="28"/>
                <w:lang w:val="uk-UA"/>
              </w:rPr>
            </w:pPr>
            <w:r w:rsidRPr="007E0AC1">
              <w:rPr>
                <w:spacing w:val="0"/>
                <w:sz w:val="28"/>
                <w:szCs w:val="28"/>
                <w:lang w:val="uk-UA"/>
              </w:rPr>
              <w:t>13603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78A0" w:rsidRPr="007E0AC1" w:rsidRDefault="000878A0" w:rsidP="000878A0">
            <w:pPr>
              <w:shd w:val="clear" w:color="auto" w:fill="FFFFFF"/>
              <w:autoSpaceDE w:val="0"/>
              <w:autoSpaceDN w:val="0"/>
              <w:adjustRightInd w:val="0"/>
              <w:rPr>
                <w:spacing w:val="0"/>
                <w:sz w:val="28"/>
                <w:szCs w:val="28"/>
                <w:lang w:val="uk-UA"/>
              </w:rPr>
            </w:pPr>
            <w:r w:rsidRPr="007E0AC1">
              <w:rPr>
                <w:spacing w:val="0"/>
                <w:sz w:val="28"/>
                <w:szCs w:val="28"/>
                <w:lang w:val="uk-UA"/>
              </w:rPr>
              <w:t>4349</w:t>
            </w:r>
          </w:p>
        </w:tc>
      </w:tr>
      <w:tr w:rsidR="000878A0" w:rsidRPr="007E0AC1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0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878A0" w:rsidRPr="007E0AC1" w:rsidRDefault="000878A0" w:rsidP="000878A0">
            <w:pPr>
              <w:autoSpaceDE w:val="0"/>
              <w:autoSpaceDN w:val="0"/>
              <w:adjustRightInd w:val="0"/>
              <w:rPr>
                <w:spacing w:val="0"/>
                <w:sz w:val="28"/>
                <w:szCs w:val="28"/>
                <w:lang w:val="uk-UA"/>
              </w:rPr>
            </w:pP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78A0" w:rsidRPr="007E0AC1" w:rsidRDefault="000878A0" w:rsidP="000878A0">
            <w:pPr>
              <w:shd w:val="clear" w:color="auto" w:fill="FFFFFF"/>
              <w:autoSpaceDE w:val="0"/>
              <w:autoSpaceDN w:val="0"/>
              <w:adjustRightInd w:val="0"/>
              <w:rPr>
                <w:spacing w:val="0"/>
                <w:sz w:val="28"/>
                <w:szCs w:val="28"/>
                <w:lang w:val="uk-UA"/>
              </w:rPr>
            </w:pPr>
            <w:r w:rsidRPr="007E0AC1">
              <w:rPr>
                <w:spacing w:val="0"/>
                <w:sz w:val="28"/>
                <w:szCs w:val="28"/>
                <w:lang w:val="uk-UA"/>
              </w:rPr>
              <w:t>Березень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78A0" w:rsidRPr="007E0AC1" w:rsidRDefault="000878A0" w:rsidP="000878A0">
            <w:pPr>
              <w:shd w:val="clear" w:color="auto" w:fill="FFFFFF"/>
              <w:autoSpaceDE w:val="0"/>
              <w:autoSpaceDN w:val="0"/>
              <w:adjustRightInd w:val="0"/>
              <w:rPr>
                <w:spacing w:val="0"/>
                <w:sz w:val="28"/>
                <w:szCs w:val="28"/>
                <w:lang w:val="uk-UA"/>
              </w:rPr>
            </w:pPr>
            <w:r w:rsidRPr="007E0AC1">
              <w:rPr>
                <w:spacing w:val="0"/>
                <w:sz w:val="28"/>
                <w:szCs w:val="28"/>
                <w:lang w:val="uk-UA"/>
              </w:rPr>
              <w:t>959,3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78A0" w:rsidRPr="007E0AC1" w:rsidRDefault="000878A0" w:rsidP="000878A0">
            <w:pPr>
              <w:shd w:val="clear" w:color="auto" w:fill="FFFFFF"/>
              <w:autoSpaceDE w:val="0"/>
              <w:autoSpaceDN w:val="0"/>
              <w:adjustRightInd w:val="0"/>
              <w:rPr>
                <w:spacing w:val="0"/>
                <w:sz w:val="28"/>
                <w:szCs w:val="28"/>
                <w:lang w:val="uk-UA"/>
              </w:rPr>
            </w:pPr>
            <w:r w:rsidRPr="007E0AC1">
              <w:rPr>
                <w:spacing w:val="0"/>
                <w:sz w:val="28"/>
                <w:szCs w:val="28"/>
                <w:lang w:val="uk-UA"/>
              </w:rPr>
              <w:t>2054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78A0" w:rsidRPr="007E0AC1" w:rsidRDefault="000878A0" w:rsidP="000878A0">
            <w:pPr>
              <w:shd w:val="clear" w:color="auto" w:fill="FFFFFF"/>
              <w:autoSpaceDE w:val="0"/>
              <w:autoSpaceDN w:val="0"/>
              <w:adjustRightInd w:val="0"/>
              <w:rPr>
                <w:spacing w:val="0"/>
                <w:sz w:val="28"/>
                <w:szCs w:val="28"/>
                <w:lang w:val="uk-UA"/>
              </w:rPr>
            </w:pPr>
            <w:r w:rsidRPr="007E0AC1">
              <w:rPr>
                <w:spacing w:val="0"/>
                <w:sz w:val="28"/>
                <w:szCs w:val="28"/>
                <w:lang w:val="uk-UA"/>
              </w:rPr>
              <w:t>6535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78A0" w:rsidRPr="007E0AC1" w:rsidRDefault="000878A0" w:rsidP="000878A0">
            <w:pPr>
              <w:shd w:val="clear" w:color="auto" w:fill="FFFFFF"/>
              <w:autoSpaceDE w:val="0"/>
              <w:autoSpaceDN w:val="0"/>
              <w:adjustRightInd w:val="0"/>
              <w:rPr>
                <w:spacing w:val="0"/>
                <w:sz w:val="28"/>
                <w:szCs w:val="28"/>
                <w:lang w:val="uk-UA"/>
              </w:rPr>
            </w:pPr>
            <w:r w:rsidRPr="007E0AC1">
              <w:rPr>
                <w:spacing w:val="0"/>
                <w:sz w:val="28"/>
                <w:szCs w:val="28"/>
                <w:lang w:val="uk-UA"/>
              </w:rPr>
              <w:t>1323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78A0" w:rsidRPr="007E0AC1" w:rsidRDefault="000878A0" w:rsidP="000878A0">
            <w:pPr>
              <w:shd w:val="clear" w:color="auto" w:fill="FFFFFF"/>
              <w:autoSpaceDE w:val="0"/>
              <w:autoSpaceDN w:val="0"/>
              <w:adjustRightInd w:val="0"/>
              <w:rPr>
                <w:spacing w:val="0"/>
                <w:sz w:val="28"/>
                <w:szCs w:val="28"/>
                <w:lang w:val="uk-UA"/>
              </w:rPr>
            </w:pPr>
            <w:r w:rsidRPr="007E0AC1">
              <w:rPr>
                <w:spacing w:val="0"/>
                <w:sz w:val="28"/>
                <w:szCs w:val="28"/>
                <w:lang w:val="uk-UA"/>
              </w:rPr>
              <w:t>12263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78A0" w:rsidRPr="007E0AC1" w:rsidRDefault="000878A0" w:rsidP="000878A0">
            <w:pPr>
              <w:shd w:val="clear" w:color="auto" w:fill="FFFFFF"/>
              <w:autoSpaceDE w:val="0"/>
              <w:autoSpaceDN w:val="0"/>
              <w:adjustRightInd w:val="0"/>
              <w:rPr>
                <w:spacing w:val="0"/>
                <w:sz w:val="28"/>
                <w:szCs w:val="28"/>
                <w:lang w:val="uk-UA"/>
              </w:rPr>
            </w:pPr>
            <w:r w:rsidRPr="007E0AC1">
              <w:rPr>
                <w:spacing w:val="0"/>
                <w:sz w:val="28"/>
                <w:szCs w:val="28"/>
                <w:lang w:val="uk-UA"/>
              </w:rPr>
              <w:t>2279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78A0" w:rsidRPr="007E0AC1" w:rsidRDefault="000878A0" w:rsidP="000878A0">
            <w:pPr>
              <w:shd w:val="clear" w:color="auto" w:fill="FFFFFF"/>
              <w:autoSpaceDE w:val="0"/>
              <w:autoSpaceDN w:val="0"/>
              <w:adjustRightInd w:val="0"/>
              <w:rPr>
                <w:spacing w:val="0"/>
                <w:sz w:val="28"/>
                <w:szCs w:val="28"/>
                <w:lang w:val="uk-UA"/>
              </w:rPr>
            </w:pPr>
            <w:r w:rsidRPr="007E0AC1">
              <w:rPr>
                <w:spacing w:val="0"/>
                <w:sz w:val="28"/>
                <w:szCs w:val="28"/>
                <w:lang w:val="uk-UA"/>
              </w:rPr>
              <w:t>12526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78A0" w:rsidRPr="007E0AC1" w:rsidRDefault="000878A0" w:rsidP="000878A0">
            <w:pPr>
              <w:shd w:val="clear" w:color="auto" w:fill="FFFFFF"/>
              <w:autoSpaceDE w:val="0"/>
              <w:autoSpaceDN w:val="0"/>
              <w:adjustRightInd w:val="0"/>
              <w:rPr>
                <w:spacing w:val="0"/>
                <w:sz w:val="28"/>
                <w:szCs w:val="28"/>
                <w:lang w:val="uk-UA"/>
              </w:rPr>
            </w:pPr>
            <w:r w:rsidRPr="007E0AC1">
              <w:rPr>
                <w:spacing w:val="0"/>
                <w:sz w:val="28"/>
                <w:szCs w:val="28"/>
                <w:lang w:val="uk-UA"/>
              </w:rPr>
              <w:t>3473</w:t>
            </w:r>
          </w:p>
        </w:tc>
      </w:tr>
      <w:tr w:rsidR="000878A0" w:rsidRPr="007E0AC1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0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878A0" w:rsidRPr="007E0AC1" w:rsidRDefault="000878A0" w:rsidP="000878A0">
            <w:pPr>
              <w:autoSpaceDE w:val="0"/>
              <w:autoSpaceDN w:val="0"/>
              <w:adjustRightInd w:val="0"/>
              <w:rPr>
                <w:spacing w:val="0"/>
                <w:sz w:val="28"/>
                <w:szCs w:val="28"/>
                <w:lang w:val="uk-UA"/>
              </w:rPr>
            </w:pP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78A0" w:rsidRPr="007E0AC1" w:rsidRDefault="000878A0" w:rsidP="000878A0">
            <w:pPr>
              <w:shd w:val="clear" w:color="auto" w:fill="FFFFFF"/>
              <w:autoSpaceDE w:val="0"/>
              <w:autoSpaceDN w:val="0"/>
              <w:adjustRightInd w:val="0"/>
              <w:rPr>
                <w:spacing w:val="0"/>
                <w:sz w:val="28"/>
                <w:szCs w:val="28"/>
                <w:lang w:val="uk-UA"/>
              </w:rPr>
            </w:pPr>
            <w:r w:rsidRPr="007E0AC1">
              <w:rPr>
                <w:spacing w:val="0"/>
                <w:sz w:val="28"/>
                <w:szCs w:val="28"/>
                <w:lang w:val="uk-UA"/>
              </w:rPr>
              <w:t>Квітень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78A0" w:rsidRPr="007E0AC1" w:rsidRDefault="000878A0" w:rsidP="000878A0">
            <w:pPr>
              <w:shd w:val="clear" w:color="auto" w:fill="FFFFFF"/>
              <w:autoSpaceDE w:val="0"/>
              <w:autoSpaceDN w:val="0"/>
              <w:adjustRightInd w:val="0"/>
              <w:rPr>
                <w:spacing w:val="0"/>
                <w:sz w:val="28"/>
                <w:szCs w:val="28"/>
                <w:lang w:val="uk-UA"/>
              </w:rPr>
            </w:pPr>
            <w:r w:rsidRPr="007E0AC1">
              <w:rPr>
                <w:spacing w:val="0"/>
                <w:sz w:val="28"/>
                <w:szCs w:val="28"/>
                <w:lang w:val="uk-UA"/>
              </w:rPr>
              <w:t>355,2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78A0" w:rsidRPr="007E0AC1" w:rsidRDefault="000878A0" w:rsidP="000878A0">
            <w:pPr>
              <w:shd w:val="clear" w:color="auto" w:fill="FFFFFF"/>
              <w:autoSpaceDE w:val="0"/>
              <w:autoSpaceDN w:val="0"/>
              <w:adjustRightInd w:val="0"/>
              <w:rPr>
                <w:spacing w:val="0"/>
                <w:sz w:val="28"/>
                <w:szCs w:val="28"/>
                <w:lang w:val="uk-UA"/>
              </w:rPr>
            </w:pPr>
            <w:r w:rsidRPr="007E0AC1">
              <w:rPr>
                <w:spacing w:val="0"/>
                <w:sz w:val="28"/>
                <w:szCs w:val="28"/>
                <w:lang w:val="uk-UA"/>
              </w:rPr>
              <w:t>2123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78A0" w:rsidRPr="007E0AC1" w:rsidRDefault="000878A0" w:rsidP="000878A0">
            <w:pPr>
              <w:shd w:val="clear" w:color="auto" w:fill="FFFFFF"/>
              <w:autoSpaceDE w:val="0"/>
              <w:autoSpaceDN w:val="0"/>
              <w:adjustRightInd w:val="0"/>
              <w:rPr>
                <w:spacing w:val="0"/>
                <w:sz w:val="28"/>
                <w:szCs w:val="28"/>
                <w:lang w:val="uk-UA"/>
              </w:rPr>
            </w:pPr>
            <w:r w:rsidRPr="007E0AC1">
              <w:rPr>
                <w:spacing w:val="0"/>
                <w:sz w:val="28"/>
                <w:szCs w:val="28"/>
                <w:lang w:val="uk-UA"/>
              </w:rPr>
              <w:t>6949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78A0" w:rsidRPr="007E0AC1" w:rsidRDefault="000878A0" w:rsidP="000878A0">
            <w:pPr>
              <w:shd w:val="clear" w:color="auto" w:fill="FFFFFF"/>
              <w:autoSpaceDE w:val="0"/>
              <w:autoSpaceDN w:val="0"/>
              <w:adjustRightInd w:val="0"/>
              <w:rPr>
                <w:spacing w:val="0"/>
                <w:sz w:val="28"/>
                <w:szCs w:val="28"/>
                <w:lang w:val="uk-UA"/>
              </w:rPr>
            </w:pPr>
            <w:r w:rsidRPr="007E0AC1">
              <w:rPr>
                <w:spacing w:val="0"/>
                <w:sz w:val="28"/>
                <w:szCs w:val="28"/>
                <w:lang w:val="uk-UA"/>
              </w:rPr>
              <w:t>1336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78A0" w:rsidRPr="007E0AC1" w:rsidRDefault="000878A0" w:rsidP="000878A0">
            <w:pPr>
              <w:shd w:val="clear" w:color="auto" w:fill="FFFFFF"/>
              <w:autoSpaceDE w:val="0"/>
              <w:autoSpaceDN w:val="0"/>
              <w:adjustRightInd w:val="0"/>
              <w:rPr>
                <w:spacing w:val="0"/>
                <w:sz w:val="28"/>
                <w:szCs w:val="28"/>
                <w:lang w:val="uk-UA"/>
              </w:rPr>
            </w:pPr>
            <w:r w:rsidRPr="007E0AC1">
              <w:rPr>
                <w:spacing w:val="0"/>
                <w:sz w:val="28"/>
                <w:szCs w:val="28"/>
                <w:lang w:val="uk-UA"/>
              </w:rPr>
              <w:t>12820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78A0" w:rsidRPr="007E0AC1" w:rsidRDefault="000878A0" w:rsidP="000878A0">
            <w:pPr>
              <w:shd w:val="clear" w:color="auto" w:fill="FFFFFF"/>
              <w:autoSpaceDE w:val="0"/>
              <w:autoSpaceDN w:val="0"/>
              <w:adjustRightInd w:val="0"/>
              <w:rPr>
                <w:spacing w:val="0"/>
                <w:sz w:val="28"/>
                <w:szCs w:val="28"/>
                <w:lang w:val="uk-UA"/>
              </w:rPr>
            </w:pPr>
            <w:r w:rsidRPr="007E0AC1">
              <w:rPr>
                <w:spacing w:val="0"/>
                <w:sz w:val="28"/>
                <w:szCs w:val="28"/>
                <w:lang w:val="uk-UA"/>
              </w:rPr>
              <w:t>2413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78A0" w:rsidRPr="007E0AC1" w:rsidRDefault="000878A0" w:rsidP="000878A0">
            <w:pPr>
              <w:shd w:val="clear" w:color="auto" w:fill="FFFFFF"/>
              <w:autoSpaceDE w:val="0"/>
              <w:autoSpaceDN w:val="0"/>
              <w:adjustRightInd w:val="0"/>
              <w:rPr>
                <w:spacing w:val="0"/>
                <w:sz w:val="28"/>
                <w:szCs w:val="28"/>
                <w:lang w:val="uk-UA"/>
              </w:rPr>
            </w:pPr>
            <w:r w:rsidRPr="007E0AC1">
              <w:rPr>
                <w:spacing w:val="0"/>
                <w:sz w:val="28"/>
                <w:szCs w:val="28"/>
                <w:lang w:val="uk-UA"/>
              </w:rPr>
              <w:t>13850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78A0" w:rsidRPr="007E0AC1" w:rsidRDefault="000878A0" w:rsidP="000878A0">
            <w:pPr>
              <w:shd w:val="clear" w:color="auto" w:fill="FFFFFF"/>
              <w:autoSpaceDE w:val="0"/>
              <w:autoSpaceDN w:val="0"/>
              <w:adjustRightInd w:val="0"/>
              <w:rPr>
                <w:spacing w:val="0"/>
                <w:sz w:val="28"/>
                <w:szCs w:val="28"/>
                <w:lang w:val="uk-UA"/>
              </w:rPr>
            </w:pPr>
            <w:r w:rsidRPr="007E0AC1">
              <w:rPr>
                <w:spacing w:val="0"/>
                <w:sz w:val="28"/>
                <w:szCs w:val="28"/>
                <w:lang w:val="uk-UA"/>
              </w:rPr>
              <w:t>3693</w:t>
            </w:r>
          </w:p>
        </w:tc>
      </w:tr>
      <w:tr w:rsidR="000878A0" w:rsidRPr="007E0AC1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0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878A0" w:rsidRPr="007E0AC1" w:rsidRDefault="000878A0" w:rsidP="000878A0">
            <w:pPr>
              <w:autoSpaceDE w:val="0"/>
              <w:autoSpaceDN w:val="0"/>
              <w:adjustRightInd w:val="0"/>
              <w:rPr>
                <w:spacing w:val="0"/>
                <w:sz w:val="28"/>
                <w:szCs w:val="28"/>
                <w:lang w:val="uk-UA"/>
              </w:rPr>
            </w:pP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78A0" w:rsidRPr="007E0AC1" w:rsidRDefault="000878A0" w:rsidP="000878A0">
            <w:pPr>
              <w:shd w:val="clear" w:color="auto" w:fill="FFFFFF"/>
              <w:autoSpaceDE w:val="0"/>
              <w:autoSpaceDN w:val="0"/>
              <w:adjustRightInd w:val="0"/>
              <w:rPr>
                <w:spacing w:val="0"/>
                <w:sz w:val="28"/>
                <w:szCs w:val="28"/>
                <w:lang w:val="uk-UA"/>
              </w:rPr>
            </w:pPr>
            <w:r w:rsidRPr="007E0AC1">
              <w:rPr>
                <w:spacing w:val="0"/>
                <w:sz w:val="28"/>
                <w:szCs w:val="28"/>
                <w:lang w:val="uk-UA"/>
              </w:rPr>
              <w:t>Травень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78A0" w:rsidRPr="007E0AC1" w:rsidRDefault="000878A0" w:rsidP="000878A0">
            <w:pPr>
              <w:shd w:val="clear" w:color="auto" w:fill="FFFFFF"/>
              <w:autoSpaceDE w:val="0"/>
              <w:autoSpaceDN w:val="0"/>
              <w:adjustRightInd w:val="0"/>
              <w:rPr>
                <w:spacing w:val="0"/>
                <w:sz w:val="28"/>
                <w:szCs w:val="28"/>
                <w:lang w:val="uk-UA"/>
              </w:rPr>
            </w:pPr>
            <w:r w:rsidRPr="007E0AC1">
              <w:rPr>
                <w:spacing w:val="0"/>
                <w:sz w:val="28"/>
                <w:szCs w:val="28"/>
                <w:lang w:val="uk-UA"/>
              </w:rPr>
              <w:t>912,2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78A0" w:rsidRPr="007E0AC1" w:rsidRDefault="000878A0" w:rsidP="000878A0">
            <w:pPr>
              <w:shd w:val="clear" w:color="auto" w:fill="FFFFFF"/>
              <w:autoSpaceDE w:val="0"/>
              <w:autoSpaceDN w:val="0"/>
              <w:adjustRightInd w:val="0"/>
              <w:rPr>
                <w:spacing w:val="0"/>
                <w:sz w:val="28"/>
                <w:szCs w:val="28"/>
                <w:lang w:val="uk-UA"/>
              </w:rPr>
            </w:pPr>
            <w:r w:rsidRPr="007E0AC1">
              <w:rPr>
                <w:spacing w:val="0"/>
                <w:sz w:val="28"/>
                <w:szCs w:val="28"/>
                <w:lang w:val="uk-UA"/>
              </w:rPr>
              <w:t>2460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78A0" w:rsidRPr="007E0AC1" w:rsidRDefault="000878A0" w:rsidP="000878A0">
            <w:pPr>
              <w:shd w:val="clear" w:color="auto" w:fill="FFFFFF"/>
              <w:autoSpaceDE w:val="0"/>
              <w:autoSpaceDN w:val="0"/>
              <w:adjustRightInd w:val="0"/>
              <w:rPr>
                <w:spacing w:val="0"/>
                <w:sz w:val="28"/>
                <w:szCs w:val="28"/>
                <w:lang w:val="uk-UA"/>
              </w:rPr>
            </w:pPr>
            <w:r w:rsidRPr="007E0AC1">
              <w:rPr>
                <w:spacing w:val="0"/>
                <w:sz w:val="28"/>
                <w:szCs w:val="28"/>
                <w:lang w:val="uk-UA"/>
              </w:rPr>
              <w:t>7097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78A0" w:rsidRPr="007E0AC1" w:rsidRDefault="000878A0" w:rsidP="000878A0">
            <w:pPr>
              <w:shd w:val="clear" w:color="auto" w:fill="FFFFFF"/>
              <w:autoSpaceDE w:val="0"/>
              <w:autoSpaceDN w:val="0"/>
              <w:adjustRightInd w:val="0"/>
              <w:rPr>
                <w:spacing w:val="0"/>
                <w:sz w:val="28"/>
                <w:szCs w:val="28"/>
                <w:lang w:val="uk-UA"/>
              </w:rPr>
            </w:pPr>
            <w:r w:rsidRPr="007E0AC1">
              <w:rPr>
                <w:spacing w:val="0"/>
                <w:sz w:val="28"/>
                <w:szCs w:val="28"/>
                <w:lang w:val="uk-UA"/>
              </w:rPr>
              <w:t>1400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78A0" w:rsidRPr="007E0AC1" w:rsidRDefault="000878A0" w:rsidP="000878A0">
            <w:pPr>
              <w:shd w:val="clear" w:color="auto" w:fill="FFFFFF"/>
              <w:autoSpaceDE w:val="0"/>
              <w:autoSpaceDN w:val="0"/>
              <w:adjustRightInd w:val="0"/>
              <w:rPr>
                <w:spacing w:val="0"/>
                <w:sz w:val="28"/>
                <w:szCs w:val="28"/>
                <w:lang w:val="uk-UA"/>
              </w:rPr>
            </w:pPr>
            <w:r w:rsidRPr="007E0AC1">
              <w:rPr>
                <w:spacing w:val="0"/>
                <w:sz w:val="28"/>
                <w:szCs w:val="28"/>
                <w:lang w:val="uk-UA"/>
              </w:rPr>
              <w:t>12</w:t>
            </w:r>
            <w:r w:rsidRPr="007E0AC1">
              <w:rPr>
                <w:bCs/>
                <w:spacing w:val="0"/>
                <w:sz w:val="28"/>
                <w:szCs w:val="28"/>
                <w:lang w:val="uk-UA"/>
              </w:rPr>
              <w:t>638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78A0" w:rsidRPr="007E0AC1" w:rsidRDefault="000878A0" w:rsidP="000878A0">
            <w:pPr>
              <w:shd w:val="clear" w:color="auto" w:fill="FFFFFF"/>
              <w:autoSpaceDE w:val="0"/>
              <w:autoSpaceDN w:val="0"/>
              <w:adjustRightInd w:val="0"/>
              <w:rPr>
                <w:spacing w:val="0"/>
                <w:sz w:val="28"/>
                <w:szCs w:val="28"/>
                <w:lang w:val="uk-UA"/>
              </w:rPr>
            </w:pPr>
            <w:r w:rsidRPr="007E0AC1">
              <w:rPr>
                <w:spacing w:val="0"/>
                <w:sz w:val="28"/>
                <w:szCs w:val="28"/>
                <w:lang w:val="uk-UA"/>
              </w:rPr>
              <w:t>2523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78A0" w:rsidRPr="007E0AC1" w:rsidRDefault="000878A0" w:rsidP="000878A0">
            <w:pPr>
              <w:shd w:val="clear" w:color="auto" w:fill="FFFFFF"/>
              <w:autoSpaceDE w:val="0"/>
              <w:autoSpaceDN w:val="0"/>
              <w:adjustRightInd w:val="0"/>
              <w:rPr>
                <w:spacing w:val="0"/>
                <w:sz w:val="28"/>
                <w:szCs w:val="28"/>
                <w:lang w:val="uk-UA"/>
              </w:rPr>
            </w:pPr>
            <w:r w:rsidRPr="007E0AC1">
              <w:rPr>
                <w:spacing w:val="0"/>
                <w:sz w:val="28"/>
                <w:szCs w:val="28"/>
                <w:lang w:val="uk-UA"/>
              </w:rPr>
              <w:t>14339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78A0" w:rsidRPr="007E0AC1" w:rsidRDefault="000878A0" w:rsidP="000878A0">
            <w:pPr>
              <w:shd w:val="clear" w:color="auto" w:fill="FFFFFF"/>
              <w:autoSpaceDE w:val="0"/>
              <w:autoSpaceDN w:val="0"/>
              <w:adjustRightInd w:val="0"/>
              <w:rPr>
                <w:spacing w:val="0"/>
                <w:sz w:val="28"/>
                <w:szCs w:val="28"/>
                <w:lang w:val="uk-UA"/>
              </w:rPr>
            </w:pPr>
            <w:r w:rsidRPr="007E0AC1">
              <w:rPr>
                <w:spacing w:val="0"/>
                <w:sz w:val="28"/>
                <w:szCs w:val="28"/>
                <w:lang w:val="uk-UA"/>
              </w:rPr>
              <w:t>3433</w:t>
            </w:r>
          </w:p>
        </w:tc>
      </w:tr>
      <w:tr w:rsidR="000878A0" w:rsidRPr="007E0AC1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0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878A0" w:rsidRPr="007E0AC1" w:rsidRDefault="000878A0" w:rsidP="000878A0">
            <w:pPr>
              <w:autoSpaceDE w:val="0"/>
              <w:autoSpaceDN w:val="0"/>
              <w:adjustRightInd w:val="0"/>
              <w:rPr>
                <w:spacing w:val="0"/>
                <w:sz w:val="28"/>
                <w:szCs w:val="28"/>
                <w:lang w:val="uk-UA"/>
              </w:rPr>
            </w:pP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78A0" w:rsidRPr="007E0AC1" w:rsidRDefault="000878A0" w:rsidP="000878A0">
            <w:pPr>
              <w:shd w:val="clear" w:color="auto" w:fill="FFFFFF"/>
              <w:autoSpaceDE w:val="0"/>
              <w:autoSpaceDN w:val="0"/>
              <w:adjustRightInd w:val="0"/>
              <w:rPr>
                <w:spacing w:val="0"/>
                <w:sz w:val="28"/>
                <w:szCs w:val="28"/>
                <w:lang w:val="uk-UA"/>
              </w:rPr>
            </w:pPr>
            <w:r w:rsidRPr="007E0AC1">
              <w:rPr>
                <w:spacing w:val="0"/>
                <w:sz w:val="28"/>
                <w:szCs w:val="28"/>
                <w:lang w:val="uk-UA"/>
              </w:rPr>
              <w:t>Червень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78A0" w:rsidRPr="007E0AC1" w:rsidRDefault="000878A0" w:rsidP="000878A0">
            <w:pPr>
              <w:shd w:val="clear" w:color="auto" w:fill="FFFFFF"/>
              <w:autoSpaceDE w:val="0"/>
              <w:autoSpaceDN w:val="0"/>
              <w:adjustRightInd w:val="0"/>
              <w:rPr>
                <w:spacing w:val="0"/>
                <w:sz w:val="28"/>
                <w:szCs w:val="28"/>
                <w:lang w:val="uk-UA"/>
              </w:rPr>
            </w:pPr>
            <w:r w:rsidRPr="007E0AC1">
              <w:rPr>
                <w:spacing w:val="0"/>
                <w:sz w:val="28"/>
                <w:szCs w:val="28"/>
                <w:lang w:val="uk-UA"/>
              </w:rPr>
              <w:t>767,6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78A0" w:rsidRPr="007E0AC1" w:rsidRDefault="000878A0" w:rsidP="000878A0">
            <w:pPr>
              <w:shd w:val="clear" w:color="auto" w:fill="FFFFFF"/>
              <w:autoSpaceDE w:val="0"/>
              <w:autoSpaceDN w:val="0"/>
              <w:adjustRightInd w:val="0"/>
              <w:rPr>
                <w:spacing w:val="0"/>
                <w:sz w:val="28"/>
                <w:szCs w:val="28"/>
                <w:lang w:val="uk-UA"/>
              </w:rPr>
            </w:pPr>
            <w:r w:rsidRPr="007E0AC1">
              <w:rPr>
                <w:spacing w:val="0"/>
                <w:sz w:val="28"/>
                <w:szCs w:val="28"/>
                <w:lang w:val="uk-UA"/>
              </w:rPr>
              <w:t>2303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78A0" w:rsidRPr="007E0AC1" w:rsidRDefault="000878A0" w:rsidP="000878A0">
            <w:pPr>
              <w:shd w:val="clear" w:color="auto" w:fill="FFFFFF"/>
              <w:autoSpaceDE w:val="0"/>
              <w:autoSpaceDN w:val="0"/>
              <w:adjustRightInd w:val="0"/>
              <w:rPr>
                <w:spacing w:val="0"/>
                <w:sz w:val="28"/>
                <w:szCs w:val="28"/>
                <w:lang w:val="uk-UA"/>
              </w:rPr>
            </w:pPr>
            <w:r w:rsidRPr="007E0AC1">
              <w:rPr>
                <w:spacing w:val="0"/>
                <w:sz w:val="28"/>
                <w:szCs w:val="28"/>
                <w:lang w:val="uk-UA"/>
              </w:rPr>
              <w:t>6418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78A0" w:rsidRPr="007E0AC1" w:rsidRDefault="000878A0" w:rsidP="000878A0">
            <w:pPr>
              <w:shd w:val="clear" w:color="auto" w:fill="FFFFFF"/>
              <w:autoSpaceDE w:val="0"/>
              <w:autoSpaceDN w:val="0"/>
              <w:adjustRightInd w:val="0"/>
              <w:rPr>
                <w:spacing w:val="0"/>
                <w:sz w:val="28"/>
                <w:szCs w:val="28"/>
                <w:lang w:val="uk-UA"/>
              </w:rPr>
            </w:pPr>
            <w:r w:rsidRPr="007E0AC1">
              <w:rPr>
                <w:spacing w:val="0"/>
                <w:sz w:val="28"/>
                <w:szCs w:val="28"/>
                <w:lang w:val="uk-UA"/>
              </w:rPr>
              <w:t>1280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78A0" w:rsidRPr="007E0AC1" w:rsidRDefault="000878A0" w:rsidP="000878A0">
            <w:pPr>
              <w:shd w:val="clear" w:color="auto" w:fill="FFFFFF"/>
              <w:autoSpaceDE w:val="0"/>
              <w:autoSpaceDN w:val="0"/>
              <w:adjustRightInd w:val="0"/>
              <w:rPr>
                <w:spacing w:val="0"/>
                <w:sz w:val="28"/>
                <w:szCs w:val="28"/>
                <w:lang w:val="uk-UA"/>
              </w:rPr>
            </w:pPr>
            <w:r w:rsidRPr="007E0AC1">
              <w:rPr>
                <w:spacing w:val="0"/>
                <w:sz w:val="28"/>
                <w:szCs w:val="28"/>
                <w:lang w:val="uk-UA"/>
              </w:rPr>
              <w:t>11</w:t>
            </w:r>
            <w:r w:rsidRPr="007E0AC1">
              <w:rPr>
                <w:bCs/>
                <w:spacing w:val="0"/>
                <w:sz w:val="28"/>
                <w:szCs w:val="28"/>
                <w:lang w:val="uk-UA"/>
              </w:rPr>
              <w:t>350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78A0" w:rsidRPr="007E0AC1" w:rsidRDefault="000878A0" w:rsidP="000878A0">
            <w:pPr>
              <w:shd w:val="clear" w:color="auto" w:fill="FFFFFF"/>
              <w:autoSpaceDE w:val="0"/>
              <w:autoSpaceDN w:val="0"/>
              <w:adjustRightInd w:val="0"/>
              <w:rPr>
                <w:spacing w:val="0"/>
                <w:sz w:val="28"/>
                <w:szCs w:val="28"/>
                <w:lang w:val="uk-UA"/>
              </w:rPr>
            </w:pPr>
            <w:r w:rsidRPr="007E0AC1">
              <w:rPr>
                <w:spacing w:val="0"/>
                <w:sz w:val="28"/>
                <w:szCs w:val="28"/>
                <w:lang w:val="uk-UA"/>
              </w:rPr>
              <w:t>2293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78A0" w:rsidRPr="007E0AC1" w:rsidRDefault="000878A0" w:rsidP="000878A0">
            <w:pPr>
              <w:shd w:val="clear" w:color="auto" w:fill="FFFFFF"/>
              <w:autoSpaceDE w:val="0"/>
              <w:autoSpaceDN w:val="0"/>
              <w:adjustRightInd w:val="0"/>
              <w:rPr>
                <w:spacing w:val="0"/>
                <w:sz w:val="28"/>
                <w:szCs w:val="28"/>
                <w:lang w:val="uk-UA"/>
              </w:rPr>
            </w:pPr>
            <w:r w:rsidRPr="007E0AC1">
              <w:rPr>
                <w:spacing w:val="0"/>
                <w:sz w:val="28"/>
                <w:szCs w:val="28"/>
                <w:lang w:val="uk-UA"/>
              </w:rPr>
              <w:t>13</w:t>
            </w:r>
            <w:r w:rsidRPr="007E0AC1">
              <w:rPr>
                <w:bCs/>
                <w:spacing w:val="0"/>
                <w:sz w:val="28"/>
                <w:szCs w:val="28"/>
                <w:lang w:val="uk-UA"/>
              </w:rPr>
              <w:t>481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78A0" w:rsidRPr="007E0AC1" w:rsidRDefault="000878A0" w:rsidP="000878A0">
            <w:pPr>
              <w:shd w:val="clear" w:color="auto" w:fill="FFFFFF"/>
              <w:autoSpaceDE w:val="0"/>
              <w:autoSpaceDN w:val="0"/>
              <w:adjustRightInd w:val="0"/>
              <w:rPr>
                <w:spacing w:val="0"/>
                <w:sz w:val="28"/>
                <w:szCs w:val="28"/>
                <w:lang w:val="uk-UA"/>
              </w:rPr>
            </w:pPr>
            <w:r w:rsidRPr="007E0AC1">
              <w:rPr>
                <w:spacing w:val="0"/>
                <w:sz w:val="28"/>
                <w:szCs w:val="28"/>
                <w:lang w:val="uk-UA"/>
              </w:rPr>
              <w:t>2736</w:t>
            </w:r>
          </w:p>
        </w:tc>
      </w:tr>
      <w:tr w:rsidR="000878A0" w:rsidRPr="007E0AC1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0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878A0" w:rsidRPr="007E0AC1" w:rsidRDefault="000878A0" w:rsidP="000878A0">
            <w:pPr>
              <w:autoSpaceDE w:val="0"/>
              <w:autoSpaceDN w:val="0"/>
              <w:adjustRightInd w:val="0"/>
              <w:rPr>
                <w:spacing w:val="0"/>
                <w:sz w:val="28"/>
                <w:szCs w:val="28"/>
                <w:lang w:val="uk-UA"/>
              </w:rPr>
            </w:pP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78A0" w:rsidRPr="007E0AC1" w:rsidRDefault="000878A0" w:rsidP="000878A0">
            <w:pPr>
              <w:shd w:val="clear" w:color="auto" w:fill="FFFFFF"/>
              <w:autoSpaceDE w:val="0"/>
              <w:autoSpaceDN w:val="0"/>
              <w:adjustRightInd w:val="0"/>
              <w:rPr>
                <w:spacing w:val="0"/>
                <w:sz w:val="28"/>
                <w:szCs w:val="28"/>
                <w:lang w:val="uk-UA"/>
              </w:rPr>
            </w:pPr>
            <w:r w:rsidRPr="007E0AC1">
              <w:rPr>
                <w:spacing w:val="0"/>
                <w:sz w:val="28"/>
                <w:szCs w:val="28"/>
                <w:lang w:val="uk-UA"/>
              </w:rPr>
              <w:t>Липень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78A0" w:rsidRPr="007E0AC1" w:rsidRDefault="000878A0" w:rsidP="000878A0">
            <w:pPr>
              <w:shd w:val="clear" w:color="auto" w:fill="FFFFFF"/>
              <w:autoSpaceDE w:val="0"/>
              <w:autoSpaceDN w:val="0"/>
              <w:adjustRightInd w:val="0"/>
              <w:rPr>
                <w:spacing w:val="0"/>
                <w:sz w:val="28"/>
                <w:szCs w:val="28"/>
                <w:lang w:val="uk-UA"/>
              </w:rPr>
            </w:pPr>
            <w:r w:rsidRPr="007E0AC1">
              <w:rPr>
                <w:spacing w:val="0"/>
                <w:sz w:val="28"/>
                <w:szCs w:val="28"/>
                <w:lang w:val="uk-UA"/>
              </w:rPr>
              <w:t>655,0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78A0" w:rsidRPr="007E0AC1" w:rsidRDefault="000878A0" w:rsidP="000878A0">
            <w:pPr>
              <w:shd w:val="clear" w:color="auto" w:fill="FFFFFF"/>
              <w:autoSpaceDE w:val="0"/>
              <w:autoSpaceDN w:val="0"/>
              <w:adjustRightInd w:val="0"/>
              <w:rPr>
                <w:spacing w:val="0"/>
                <w:sz w:val="28"/>
                <w:szCs w:val="28"/>
                <w:lang w:val="uk-UA"/>
              </w:rPr>
            </w:pPr>
            <w:r w:rsidRPr="007E0AC1">
              <w:rPr>
                <w:spacing w:val="0"/>
                <w:sz w:val="28"/>
                <w:szCs w:val="28"/>
                <w:lang w:val="uk-UA"/>
              </w:rPr>
              <w:t>1967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78A0" w:rsidRPr="007E0AC1" w:rsidRDefault="000878A0" w:rsidP="000878A0">
            <w:pPr>
              <w:shd w:val="clear" w:color="auto" w:fill="FFFFFF"/>
              <w:autoSpaceDE w:val="0"/>
              <w:autoSpaceDN w:val="0"/>
              <w:adjustRightInd w:val="0"/>
              <w:rPr>
                <w:spacing w:val="0"/>
                <w:sz w:val="28"/>
                <w:szCs w:val="28"/>
                <w:lang w:val="uk-UA"/>
              </w:rPr>
            </w:pPr>
            <w:r w:rsidRPr="007E0AC1">
              <w:rPr>
                <w:spacing w:val="0"/>
                <w:sz w:val="28"/>
                <w:szCs w:val="28"/>
                <w:lang w:val="uk-UA"/>
              </w:rPr>
              <w:t>6480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78A0" w:rsidRPr="007E0AC1" w:rsidRDefault="000878A0" w:rsidP="000878A0">
            <w:pPr>
              <w:shd w:val="clear" w:color="auto" w:fill="FFFFFF"/>
              <w:autoSpaceDE w:val="0"/>
              <w:autoSpaceDN w:val="0"/>
              <w:adjustRightInd w:val="0"/>
              <w:rPr>
                <w:spacing w:val="0"/>
                <w:sz w:val="28"/>
                <w:szCs w:val="28"/>
                <w:lang w:val="uk-UA"/>
              </w:rPr>
            </w:pPr>
            <w:r w:rsidRPr="007E0AC1">
              <w:rPr>
                <w:spacing w:val="0"/>
                <w:sz w:val="28"/>
                <w:szCs w:val="28"/>
                <w:lang w:val="uk-UA"/>
              </w:rPr>
              <w:t>1267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78A0" w:rsidRPr="007E0AC1" w:rsidRDefault="000878A0" w:rsidP="000878A0">
            <w:pPr>
              <w:shd w:val="clear" w:color="auto" w:fill="FFFFFF"/>
              <w:autoSpaceDE w:val="0"/>
              <w:autoSpaceDN w:val="0"/>
              <w:adjustRightInd w:val="0"/>
              <w:rPr>
                <w:spacing w:val="0"/>
                <w:sz w:val="28"/>
                <w:szCs w:val="28"/>
                <w:lang w:val="uk-UA"/>
              </w:rPr>
            </w:pPr>
            <w:r w:rsidRPr="007E0AC1">
              <w:rPr>
                <w:spacing w:val="0"/>
                <w:sz w:val="28"/>
                <w:szCs w:val="28"/>
                <w:lang w:val="uk-UA"/>
              </w:rPr>
              <w:t>11</w:t>
            </w:r>
            <w:r w:rsidRPr="007E0AC1">
              <w:rPr>
                <w:bCs/>
                <w:spacing w:val="0"/>
                <w:sz w:val="28"/>
                <w:szCs w:val="28"/>
                <w:lang w:val="uk-UA"/>
              </w:rPr>
              <w:t>378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78A0" w:rsidRPr="007E0AC1" w:rsidRDefault="000878A0" w:rsidP="000878A0">
            <w:pPr>
              <w:shd w:val="clear" w:color="auto" w:fill="FFFFFF"/>
              <w:autoSpaceDE w:val="0"/>
              <w:autoSpaceDN w:val="0"/>
              <w:adjustRightInd w:val="0"/>
              <w:rPr>
                <w:spacing w:val="0"/>
                <w:sz w:val="28"/>
                <w:szCs w:val="28"/>
                <w:lang w:val="uk-UA"/>
              </w:rPr>
            </w:pPr>
            <w:r w:rsidRPr="007E0AC1">
              <w:rPr>
                <w:spacing w:val="0"/>
                <w:sz w:val="28"/>
                <w:szCs w:val="28"/>
                <w:lang w:val="uk-UA"/>
              </w:rPr>
              <w:t>2326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78A0" w:rsidRPr="007E0AC1" w:rsidRDefault="000878A0" w:rsidP="000878A0">
            <w:pPr>
              <w:shd w:val="clear" w:color="auto" w:fill="FFFFFF"/>
              <w:autoSpaceDE w:val="0"/>
              <w:autoSpaceDN w:val="0"/>
              <w:adjustRightInd w:val="0"/>
              <w:rPr>
                <w:spacing w:val="0"/>
                <w:sz w:val="28"/>
                <w:szCs w:val="28"/>
                <w:lang w:val="uk-UA"/>
              </w:rPr>
            </w:pPr>
            <w:r w:rsidRPr="007E0AC1">
              <w:rPr>
                <w:spacing w:val="0"/>
                <w:sz w:val="28"/>
                <w:szCs w:val="28"/>
                <w:lang w:val="uk-UA"/>
              </w:rPr>
              <w:t>13377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78A0" w:rsidRPr="007E0AC1" w:rsidRDefault="000878A0" w:rsidP="000878A0">
            <w:pPr>
              <w:shd w:val="clear" w:color="auto" w:fill="FFFFFF"/>
              <w:autoSpaceDE w:val="0"/>
              <w:autoSpaceDN w:val="0"/>
              <w:adjustRightInd w:val="0"/>
              <w:rPr>
                <w:spacing w:val="0"/>
                <w:sz w:val="28"/>
                <w:szCs w:val="28"/>
                <w:lang w:val="uk-UA"/>
              </w:rPr>
            </w:pPr>
            <w:r w:rsidRPr="007E0AC1">
              <w:rPr>
                <w:spacing w:val="0"/>
                <w:sz w:val="28"/>
                <w:szCs w:val="28"/>
                <w:lang w:val="uk-UA"/>
              </w:rPr>
              <w:t>2776</w:t>
            </w:r>
          </w:p>
        </w:tc>
      </w:tr>
      <w:tr w:rsidR="000878A0" w:rsidRPr="007E0AC1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0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878A0" w:rsidRPr="007E0AC1" w:rsidRDefault="000878A0" w:rsidP="000878A0">
            <w:pPr>
              <w:autoSpaceDE w:val="0"/>
              <w:autoSpaceDN w:val="0"/>
              <w:adjustRightInd w:val="0"/>
              <w:rPr>
                <w:spacing w:val="0"/>
                <w:sz w:val="28"/>
                <w:szCs w:val="28"/>
                <w:lang w:val="uk-UA"/>
              </w:rPr>
            </w:pP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78A0" w:rsidRPr="007E0AC1" w:rsidRDefault="000878A0" w:rsidP="000878A0">
            <w:pPr>
              <w:shd w:val="clear" w:color="auto" w:fill="FFFFFF"/>
              <w:autoSpaceDE w:val="0"/>
              <w:autoSpaceDN w:val="0"/>
              <w:adjustRightInd w:val="0"/>
              <w:rPr>
                <w:spacing w:val="0"/>
                <w:sz w:val="28"/>
                <w:szCs w:val="28"/>
                <w:lang w:val="uk-UA"/>
              </w:rPr>
            </w:pPr>
            <w:r w:rsidRPr="007E0AC1">
              <w:rPr>
                <w:spacing w:val="0"/>
                <w:sz w:val="28"/>
                <w:szCs w:val="28"/>
                <w:lang w:val="uk-UA"/>
              </w:rPr>
              <w:t>Серпень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78A0" w:rsidRPr="007E0AC1" w:rsidRDefault="000878A0" w:rsidP="000878A0">
            <w:pPr>
              <w:shd w:val="clear" w:color="auto" w:fill="FFFFFF"/>
              <w:autoSpaceDE w:val="0"/>
              <w:autoSpaceDN w:val="0"/>
              <w:adjustRightInd w:val="0"/>
              <w:rPr>
                <w:spacing w:val="0"/>
                <w:sz w:val="28"/>
                <w:szCs w:val="28"/>
                <w:lang w:val="uk-UA"/>
              </w:rPr>
            </w:pPr>
            <w:r w:rsidRPr="007E0AC1">
              <w:rPr>
                <w:spacing w:val="0"/>
                <w:sz w:val="28"/>
                <w:szCs w:val="28"/>
                <w:lang w:val="uk-UA"/>
              </w:rPr>
              <w:t>533,7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78A0" w:rsidRPr="007E0AC1" w:rsidRDefault="000878A0" w:rsidP="000878A0">
            <w:pPr>
              <w:shd w:val="clear" w:color="auto" w:fill="FFFFFF"/>
              <w:autoSpaceDE w:val="0"/>
              <w:autoSpaceDN w:val="0"/>
              <w:adjustRightInd w:val="0"/>
              <w:rPr>
                <w:spacing w:val="0"/>
                <w:sz w:val="28"/>
                <w:szCs w:val="28"/>
                <w:lang w:val="uk-UA"/>
              </w:rPr>
            </w:pPr>
            <w:r w:rsidRPr="007E0AC1">
              <w:rPr>
                <w:spacing w:val="0"/>
                <w:sz w:val="28"/>
                <w:szCs w:val="28"/>
                <w:lang w:val="uk-UA"/>
              </w:rPr>
              <w:t>1646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78A0" w:rsidRPr="007E0AC1" w:rsidRDefault="000878A0" w:rsidP="000878A0">
            <w:pPr>
              <w:shd w:val="clear" w:color="auto" w:fill="FFFFFF"/>
              <w:autoSpaceDE w:val="0"/>
              <w:autoSpaceDN w:val="0"/>
              <w:adjustRightInd w:val="0"/>
              <w:rPr>
                <w:spacing w:val="0"/>
                <w:sz w:val="28"/>
                <w:szCs w:val="28"/>
                <w:lang w:val="uk-UA"/>
              </w:rPr>
            </w:pPr>
            <w:r w:rsidRPr="007E0AC1">
              <w:rPr>
                <w:spacing w:val="0"/>
                <w:sz w:val="28"/>
                <w:szCs w:val="28"/>
                <w:lang w:val="uk-UA"/>
              </w:rPr>
              <w:t>6422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78A0" w:rsidRPr="007E0AC1" w:rsidRDefault="000878A0" w:rsidP="000878A0">
            <w:pPr>
              <w:shd w:val="clear" w:color="auto" w:fill="FFFFFF"/>
              <w:autoSpaceDE w:val="0"/>
              <w:autoSpaceDN w:val="0"/>
              <w:adjustRightInd w:val="0"/>
              <w:rPr>
                <w:spacing w:val="0"/>
                <w:sz w:val="28"/>
                <w:szCs w:val="28"/>
                <w:lang w:val="uk-UA"/>
              </w:rPr>
            </w:pPr>
            <w:r w:rsidRPr="007E0AC1">
              <w:rPr>
                <w:spacing w:val="0"/>
                <w:sz w:val="28"/>
                <w:szCs w:val="28"/>
                <w:lang w:val="uk-UA"/>
              </w:rPr>
              <w:t>1283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78A0" w:rsidRPr="007E0AC1" w:rsidRDefault="000878A0" w:rsidP="000878A0">
            <w:pPr>
              <w:shd w:val="clear" w:color="auto" w:fill="FFFFFF"/>
              <w:autoSpaceDE w:val="0"/>
              <w:autoSpaceDN w:val="0"/>
              <w:adjustRightInd w:val="0"/>
              <w:rPr>
                <w:spacing w:val="0"/>
                <w:sz w:val="28"/>
                <w:szCs w:val="28"/>
                <w:lang w:val="uk-UA"/>
              </w:rPr>
            </w:pPr>
            <w:r w:rsidRPr="007E0AC1">
              <w:rPr>
                <w:spacing w:val="0"/>
                <w:sz w:val="28"/>
                <w:szCs w:val="28"/>
                <w:lang w:val="uk-UA"/>
              </w:rPr>
              <w:t>11544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78A0" w:rsidRPr="007E0AC1" w:rsidRDefault="000878A0" w:rsidP="000878A0">
            <w:pPr>
              <w:shd w:val="clear" w:color="auto" w:fill="FFFFFF"/>
              <w:autoSpaceDE w:val="0"/>
              <w:autoSpaceDN w:val="0"/>
              <w:adjustRightInd w:val="0"/>
              <w:rPr>
                <w:spacing w:val="0"/>
                <w:sz w:val="28"/>
                <w:szCs w:val="28"/>
                <w:lang w:val="uk-UA"/>
              </w:rPr>
            </w:pPr>
            <w:r w:rsidRPr="007E0AC1">
              <w:rPr>
                <w:spacing w:val="0"/>
                <w:sz w:val="28"/>
                <w:szCs w:val="28"/>
                <w:lang w:val="uk-UA"/>
              </w:rPr>
              <w:t>2368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78A0" w:rsidRPr="007E0AC1" w:rsidRDefault="000878A0" w:rsidP="000878A0">
            <w:pPr>
              <w:shd w:val="clear" w:color="auto" w:fill="FFFFFF"/>
              <w:autoSpaceDE w:val="0"/>
              <w:autoSpaceDN w:val="0"/>
              <w:adjustRightInd w:val="0"/>
              <w:rPr>
                <w:spacing w:val="0"/>
                <w:sz w:val="28"/>
                <w:szCs w:val="28"/>
                <w:lang w:val="uk-UA"/>
              </w:rPr>
            </w:pPr>
            <w:r w:rsidRPr="007E0AC1">
              <w:rPr>
                <w:spacing w:val="0"/>
                <w:sz w:val="28"/>
                <w:szCs w:val="28"/>
                <w:lang w:val="uk-UA"/>
              </w:rPr>
              <w:t>13073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78A0" w:rsidRPr="007E0AC1" w:rsidRDefault="000878A0" w:rsidP="000878A0">
            <w:pPr>
              <w:shd w:val="clear" w:color="auto" w:fill="FFFFFF"/>
              <w:autoSpaceDE w:val="0"/>
              <w:autoSpaceDN w:val="0"/>
              <w:adjustRightInd w:val="0"/>
              <w:rPr>
                <w:spacing w:val="0"/>
                <w:sz w:val="28"/>
                <w:szCs w:val="28"/>
                <w:lang w:val="uk-UA"/>
              </w:rPr>
            </w:pPr>
            <w:r w:rsidRPr="007E0AC1">
              <w:rPr>
                <w:spacing w:val="0"/>
                <w:sz w:val="28"/>
                <w:szCs w:val="28"/>
                <w:lang w:val="uk-UA"/>
              </w:rPr>
              <w:t>2397</w:t>
            </w:r>
          </w:p>
        </w:tc>
      </w:tr>
      <w:tr w:rsidR="000878A0" w:rsidRPr="007E0AC1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0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878A0" w:rsidRPr="007E0AC1" w:rsidRDefault="000878A0" w:rsidP="000878A0">
            <w:pPr>
              <w:autoSpaceDE w:val="0"/>
              <w:autoSpaceDN w:val="0"/>
              <w:adjustRightInd w:val="0"/>
              <w:rPr>
                <w:spacing w:val="0"/>
                <w:sz w:val="28"/>
                <w:szCs w:val="28"/>
                <w:lang w:val="uk-UA"/>
              </w:rPr>
            </w:pP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78A0" w:rsidRPr="007E0AC1" w:rsidRDefault="000878A0" w:rsidP="000878A0">
            <w:pPr>
              <w:shd w:val="clear" w:color="auto" w:fill="FFFFFF"/>
              <w:autoSpaceDE w:val="0"/>
              <w:autoSpaceDN w:val="0"/>
              <w:adjustRightInd w:val="0"/>
              <w:rPr>
                <w:spacing w:val="0"/>
                <w:sz w:val="28"/>
                <w:szCs w:val="28"/>
                <w:lang w:val="uk-UA"/>
              </w:rPr>
            </w:pPr>
            <w:r w:rsidRPr="007E0AC1">
              <w:rPr>
                <w:spacing w:val="0"/>
                <w:sz w:val="28"/>
                <w:szCs w:val="28"/>
                <w:lang w:val="uk-UA"/>
              </w:rPr>
              <w:t>Вересень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78A0" w:rsidRPr="007E0AC1" w:rsidRDefault="000878A0" w:rsidP="000878A0">
            <w:pPr>
              <w:shd w:val="clear" w:color="auto" w:fill="FFFFFF"/>
              <w:autoSpaceDE w:val="0"/>
              <w:autoSpaceDN w:val="0"/>
              <w:adjustRightInd w:val="0"/>
              <w:rPr>
                <w:spacing w:val="0"/>
                <w:sz w:val="28"/>
                <w:szCs w:val="28"/>
                <w:lang w:val="uk-UA"/>
              </w:rPr>
            </w:pPr>
            <w:r w:rsidRPr="007E0AC1">
              <w:rPr>
                <w:spacing w:val="0"/>
                <w:sz w:val="28"/>
                <w:szCs w:val="28"/>
                <w:lang w:val="uk-UA"/>
              </w:rPr>
              <w:t>369,5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78A0" w:rsidRPr="007E0AC1" w:rsidRDefault="000878A0" w:rsidP="000878A0">
            <w:pPr>
              <w:shd w:val="clear" w:color="auto" w:fill="FFFFFF"/>
              <w:autoSpaceDE w:val="0"/>
              <w:autoSpaceDN w:val="0"/>
              <w:adjustRightInd w:val="0"/>
              <w:rPr>
                <w:spacing w:val="0"/>
                <w:sz w:val="28"/>
                <w:szCs w:val="28"/>
                <w:lang w:val="uk-UA"/>
              </w:rPr>
            </w:pPr>
            <w:r w:rsidRPr="007E0AC1">
              <w:rPr>
                <w:spacing w:val="0"/>
                <w:sz w:val="28"/>
                <w:szCs w:val="28"/>
                <w:lang w:val="uk-UA"/>
              </w:rPr>
              <w:t>1212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78A0" w:rsidRPr="007E0AC1" w:rsidRDefault="000878A0" w:rsidP="000878A0">
            <w:pPr>
              <w:shd w:val="clear" w:color="auto" w:fill="FFFFFF"/>
              <w:autoSpaceDE w:val="0"/>
              <w:autoSpaceDN w:val="0"/>
              <w:adjustRightInd w:val="0"/>
              <w:rPr>
                <w:spacing w:val="0"/>
                <w:sz w:val="28"/>
                <w:szCs w:val="28"/>
                <w:lang w:val="uk-UA"/>
              </w:rPr>
            </w:pPr>
            <w:r w:rsidRPr="007E0AC1">
              <w:rPr>
                <w:spacing w:val="0"/>
                <w:sz w:val="28"/>
                <w:szCs w:val="28"/>
                <w:lang w:val="uk-UA"/>
              </w:rPr>
              <w:t>5831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78A0" w:rsidRPr="007E0AC1" w:rsidRDefault="000878A0" w:rsidP="000878A0">
            <w:pPr>
              <w:shd w:val="clear" w:color="auto" w:fill="FFFFFF"/>
              <w:autoSpaceDE w:val="0"/>
              <w:autoSpaceDN w:val="0"/>
              <w:adjustRightInd w:val="0"/>
              <w:rPr>
                <w:spacing w:val="0"/>
                <w:sz w:val="28"/>
                <w:szCs w:val="28"/>
                <w:lang w:val="uk-UA"/>
              </w:rPr>
            </w:pPr>
            <w:r w:rsidRPr="007E0AC1">
              <w:rPr>
                <w:spacing w:val="0"/>
                <w:sz w:val="28"/>
                <w:szCs w:val="28"/>
                <w:lang w:val="uk-UA"/>
              </w:rPr>
              <w:t>1165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78A0" w:rsidRPr="007E0AC1" w:rsidRDefault="000878A0" w:rsidP="000878A0">
            <w:pPr>
              <w:shd w:val="clear" w:color="auto" w:fill="FFFFFF"/>
              <w:autoSpaceDE w:val="0"/>
              <w:autoSpaceDN w:val="0"/>
              <w:adjustRightInd w:val="0"/>
              <w:rPr>
                <w:spacing w:val="0"/>
                <w:sz w:val="28"/>
                <w:szCs w:val="28"/>
                <w:lang w:val="uk-UA"/>
              </w:rPr>
            </w:pPr>
            <w:r w:rsidRPr="007E0AC1">
              <w:rPr>
                <w:spacing w:val="0"/>
                <w:sz w:val="28"/>
                <w:szCs w:val="28"/>
                <w:lang w:val="uk-UA"/>
              </w:rPr>
              <w:t>10851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78A0" w:rsidRPr="007E0AC1" w:rsidRDefault="000878A0" w:rsidP="000878A0">
            <w:pPr>
              <w:shd w:val="clear" w:color="auto" w:fill="FFFFFF"/>
              <w:autoSpaceDE w:val="0"/>
              <w:autoSpaceDN w:val="0"/>
              <w:adjustRightInd w:val="0"/>
              <w:rPr>
                <w:spacing w:val="0"/>
                <w:sz w:val="28"/>
                <w:szCs w:val="28"/>
                <w:lang w:val="uk-UA"/>
              </w:rPr>
            </w:pPr>
            <w:r w:rsidRPr="007E0AC1">
              <w:rPr>
                <w:spacing w:val="0"/>
                <w:sz w:val="28"/>
                <w:szCs w:val="28"/>
                <w:lang w:val="uk-UA"/>
              </w:rPr>
              <w:t>2082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78A0" w:rsidRPr="007E0AC1" w:rsidRDefault="000878A0" w:rsidP="000878A0">
            <w:pPr>
              <w:shd w:val="clear" w:color="auto" w:fill="FFFFFF"/>
              <w:autoSpaceDE w:val="0"/>
              <w:autoSpaceDN w:val="0"/>
              <w:adjustRightInd w:val="0"/>
              <w:rPr>
                <w:spacing w:val="0"/>
                <w:sz w:val="28"/>
                <w:szCs w:val="28"/>
                <w:lang w:val="uk-UA"/>
              </w:rPr>
            </w:pPr>
            <w:r w:rsidRPr="007E0AC1">
              <w:rPr>
                <w:spacing w:val="0"/>
                <w:sz w:val="28"/>
                <w:szCs w:val="28"/>
                <w:lang w:val="uk-UA"/>
              </w:rPr>
              <w:t>11260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78A0" w:rsidRPr="007E0AC1" w:rsidRDefault="000878A0" w:rsidP="000878A0">
            <w:pPr>
              <w:shd w:val="clear" w:color="auto" w:fill="FFFFFF"/>
              <w:autoSpaceDE w:val="0"/>
              <w:autoSpaceDN w:val="0"/>
              <w:adjustRightInd w:val="0"/>
              <w:rPr>
                <w:spacing w:val="0"/>
                <w:sz w:val="28"/>
                <w:szCs w:val="28"/>
                <w:lang w:val="uk-UA"/>
              </w:rPr>
            </w:pPr>
            <w:r w:rsidRPr="007E0AC1">
              <w:rPr>
                <w:spacing w:val="0"/>
                <w:sz w:val="28"/>
                <w:szCs w:val="28"/>
                <w:lang w:val="uk-UA"/>
              </w:rPr>
              <w:t>2294</w:t>
            </w:r>
          </w:p>
        </w:tc>
      </w:tr>
      <w:tr w:rsidR="000878A0" w:rsidRPr="007E0AC1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0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878A0" w:rsidRPr="007E0AC1" w:rsidRDefault="000878A0" w:rsidP="000878A0">
            <w:pPr>
              <w:autoSpaceDE w:val="0"/>
              <w:autoSpaceDN w:val="0"/>
              <w:adjustRightInd w:val="0"/>
              <w:rPr>
                <w:spacing w:val="0"/>
                <w:sz w:val="28"/>
                <w:szCs w:val="28"/>
                <w:lang w:val="uk-UA"/>
              </w:rPr>
            </w:pP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78A0" w:rsidRPr="007E0AC1" w:rsidRDefault="000878A0" w:rsidP="000878A0">
            <w:pPr>
              <w:shd w:val="clear" w:color="auto" w:fill="FFFFFF"/>
              <w:autoSpaceDE w:val="0"/>
              <w:autoSpaceDN w:val="0"/>
              <w:adjustRightInd w:val="0"/>
              <w:rPr>
                <w:spacing w:val="0"/>
                <w:sz w:val="28"/>
                <w:szCs w:val="28"/>
                <w:lang w:val="uk-UA"/>
              </w:rPr>
            </w:pPr>
            <w:r w:rsidRPr="007E0AC1">
              <w:rPr>
                <w:spacing w:val="0"/>
                <w:sz w:val="28"/>
                <w:szCs w:val="28"/>
                <w:lang w:val="uk-UA"/>
              </w:rPr>
              <w:t>Жовтень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78A0" w:rsidRPr="007E0AC1" w:rsidRDefault="000878A0" w:rsidP="000878A0">
            <w:pPr>
              <w:shd w:val="clear" w:color="auto" w:fill="FFFFFF"/>
              <w:autoSpaceDE w:val="0"/>
              <w:autoSpaceDN w:val="0"/>
              <w:adjustRightInd w:val="0"/>
              <w:rPr>
                <w:spacing w:val="0"/>
                <w:sz w:val="28"/>
                <w:szCs w:val="28"/>
                <w:lang w:val="uk-UA"/>
              </w:rPr>
            </w:pPr>
            <w:r w:rsidRPr="007E0AC1">
              <w:rPr>
                <w:spacing w:val="0"/>
                <w:sz w:val="28"/>
                <w:szCs w:val="28"/>
                <w:lang w:val="uk-UA"/>
              </w:rPr>
              <w:t>252,3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78A0" w:rsidRPr="007E0AC1" w:rsidRDefault="000878A0" w:rsidP="000878A0">
            <w:pPr>
              <w:shd w:val="clear" w:color="auto" w:fill="FFFFFF"/>
              <w:autoSpaceDE w:val="0"/>
              <w:autoSpaceDN w:val="0"/>
              <w:adjustRightInd w:val="0"/>
              <w:rPr>
                <w:spacing w:val="0"/>
                <w:sz w:val="28"/>
                <w:szCs w:val="28"/>
                <w:lang w:val="uk-UA"/>
              </w:rPr>
            </w:pPr>
            <w:r w:rsidRPr="007E0AC1">
              <w:rPr>
                <w:spacing w:val="0"/>
                <w:sz w:val="28"/>
                <w:szCs w:val="28"/>
                <w:lang w:val="uk-UA"/>
              </w:rPr>
              <w:t>773,4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78A0" w:rsidRPr="007E0AC1" w:rsidRDefault="000878A0" w:rsidP="000878A0">
            <w:pPr>
              <w:shd w:val="clear" w:color="auto" w:fill="FFFFFF"/>
              <w:autoSpaceDE w:val="0"/>
              <w:autoSpaceDN w:val="0"/>
              <w:adjustRightInd w:val="0"/>
              <w:rPr>
                <w:spacing w:val="0"/>
                <w:sz w:val="28"/>
                <w:szCs w:val="28"/>
                <w:lang w:val="uk-UA"/>
              </w:rPr>
            </w:pPr>
            <w:r w:rsidRPr="007E0AC1">
              <w:rPr>
                <w:spacing w:val="0"/>
                <w:sz w:val="28"/>
                <w:szCs w:val="28"/>
                <w:lang w:val="uk-UA"/>
              </w:rPr>
              <w:t>4988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78A0" w:rsidRPr="007E0AC1" w:rsidRDefault="000878A0" w:rsidP="000878A0">
            <w:pPr>
              <w:shd w:val="clear" w:color="auto" w:fill="FFFFFF"/>
              <w:autoSpaceDE w:val="0"/>
              <w:autoSpaceDN w:val="0"/>
              <w:adjustRightInd w:val="0"/>
              <w:rPr>
                <w:spacing w:val="0"/>
                <w:sz w:val="28"/>
                <w:szCs w:val="28"/>
                <w:lang w:val="uk-UA"/>
              </w:rPr>
            </w:pPr>
            <w:r w:rsidRPr="007E0AC1">
              <w:rPr>
                <w:spacing w:val="0"/>
                <w:sz w:val="28"/>
                <w:szCs w:val="28"/>
                <w:lang w:val="uk-UA"/>
              </w:rPr>
              <w:t>968,8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78A0" w:rsidRPr="007E0AC1" w:rsidRDefault="000878A0" w:rsidP="000878A0">
            <w:pPr>
              <w:shd w:val="clear" w:color="auto" w:fill="FFFFFF"/>
              <w:autoSpaceDE w:val="0"/>
              <w:autoSpaceDN w:val="0"/>
              <w:adjustRightInd w:val="0"/>
              <w:rPr>
                <w:spacing w:val="0"/>
                <w:sz w:val="28"/>
                <w:szCs w:val="28"/>
                <w:lang w:val="uk-UA"/>
              </w:rPr>
            </w:pPr>
            <w:r w:rsidRPr="007E0AC1">
              <w:rPr>
                <w:spacing w:val="0"/>
                <w:sz w:val="28"/>
                <w:szCs w:val="28"/>
                <w:lang w:val="uk-UA"/>
              </w:rPr>
              <w:t>9337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78A0" w:rsidRPr="007E0AC1" w:rsidRDefault="000878A0" w:rsidP="000878A0">
            <w:pPr>
              <w:shd w:val="clear" w:color="auto" w:fill="FFFFFF"/>
              <w:autoSpaceDE w:val="0"/>
              <w:autoSpaceDN w:val="0"/>
              <w:adjustRightInd w:val="0"/>
              <w:rPr>
                <w:spacing w:val="0"/>
                <w:sz w:val="28"/>
                <w:szCs w:val="28"/>
                <w:lang w:val="uk-UA"/>
              </w:rPr>
            </w:pPr>
            <w:r w:rsidRPr="007E0AC1">
              <w:rPr>
                <w:spacing w:val="0"/>
                <w:sz w:val="28"/>
                <w:szCs w:val="28"/>
                <w:lang w:val="uk-UA"/>
              </w:rPr>
              <w:t>1721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78A0" w:rsidRPr="007E0AC1" w:rsidRDefault="000878A0" w:rsidP="000878A0">
            <w:pPr>
              <w:shd w:val="clear" w:color="auto" w:fill="FFFFFF"/>
              <w:autoSpaceDE w:val="0"/>
              <w:autoSpaceDN w:val="0"/>
              <w:adjustRightInd w:val="0"/>
              <w:rPr>
                <w:spacing w:val="0"/>
                <w:sz w:val="28"/>
                <w:szCs w:val="28"/>
                <w:lang w:val="uk-UA"/>
              </w:rPr>
            </w:pPr>
            <w:r w:rsidRPr="007E0AC1">
              <w:rPr>
                <w:spacing w:val="0"/>
                <w:sz w:val="28"/>
                <w:szCs w:val="28"/>
                <w:lang w:val="uk-UA"/>
              </w:rPr>
              <w:t>8577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78A0" w:rsidRPr="007E0AC1" w:rsidRDefault="000878A0" w:rsidP="000878A0">
            <w:pPr>
              <w:shd w:val="clear" w:color="auto" w:fill="FFFFFF"/>
              <w:autoSpaceDE w:val="0"/>
              <w:autoSpaceDN w:val="0"/>
              <w:adjustRightInd w:val="0"/>
              <w:rPr>
                <w:spacing w:val="0"/>
                <w:sz w:val="28"/>
                <w:szCs w:val="28"/>
                <w:lang w:val="uk-UA"/>
              </w:rPr>
            </w:pPr>
            <w:r w:rsidRPr="007E0AC1">
              <w:rPr>
                <w:spacing w:val="0"/>
                <w:sz w:val="28"/>
                <w:szCs w:val="28"/>
                <w:lang w:val="uk-UA"/>
              </w:rPr>
              <w:t>1729</w:t>
            </w:r>
          </w:p>
        </w:tc>
      </w:tr>
      <w:tr w:rsidR="000878A0" w:rsidRPr="007E0AC1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40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878A0" w:rsidRPr="007E0AC1" w:rsidRDefault="000878A0" w:rsidP="000878A0">
            <w:pPr>
              <w:autoSpaceDE w:val="0"/>
              <w:autoSpaceDN w:val="0"/>
              <w:adjustRightInd w:val="0"/>
              <w:rPr>
                <w:spacing w:val="0"/>
                <w:sz w:val="28"/>
                <w:szCs w:val="28"/>
                <w:lang w:val="uk-UA"/>
              </w:rPr>
            </w:pP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78A0" w:rsidRPr="007E0AC1" w:rsidRDefault="000878A0" w:rsidP="000878A0">
            <w:pPr>
              <w:shd w:val="clear" w:color="auto" w:fill="FFFFFF"/>
              <w:autoSpaceDE w:val="0"/>
              <w:autoSpaceDN w:val="0"/>
              <w:adjustRightInd w:val="0"/>
              <w:rPr>
                <w:spacing w:val="0"/>
                <w:sz w:val="28"/>
                <w:szCs w:val="28"/>
                <w:lang w:val="uk-UA"/>
              </w:rPr>
            </w:pPr>
            <w:r w:rsidRPr="007E0AC1">
              <w:rPr>
                <w:spacing w:val="0"/>
                <w:sz w:val="28"/>
                <w:szCs w:val="28"/>
                <w:lang w:val="uk-UA"/>
              </w:rPr>
              <w:t>Листопад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78A0" w:rsidRPr="007E0AC1" w:rsidRDefault="000878A0" w:rsidP="000878A0">
            <w:pPr>
              <w:shd w:val="clear" w:color="auto" w:fill="FFFFFF"/>
              <w:autoSpaceDE w:val="0"/>
              <w:autoSpaceDN w:val="0"/>
              <w:adjustRightInd w:val="0"/>
              <w:rPr>
                <w:spacing w:val="0"/>
                <w:sz w:val="28"/>
                <w:szCs w:val="28"/>
                <w:lang w:val="uk-UA"/>
              </w:rPr>
            </w:pPr>
            <w:r w:rsidRPr="007E0AC1">
              <w:rPr>
                <w:spacing w:val="0"/>
                <w:sz w:val="28"/>
                <w:szCs w:val="28"/>
                <w:lang w:val="uk-UA"/>
              </w:rPr>
              <w:t>239,6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78A0" w:rsidRPr="007E0AC1" w:rsidRDefault="000878A0" w:rsidP="000878A0">
            <w:pPr>
              <w:shd w:val="clear" w:color="auto" w:fill="FFFFFF"/>
              <w:autoSpaceDE w:val="0"/>
              <w:autoSpaceDN w:val="0"/>
              <w:adjustRightInd w:val="0"/>
              <w:rPr>
                <w:spacing w:val="0"/>
                <w:sz w:val="28"/>
                <w:szCs w:val="28"/>
                <w:lang w:val="uk-UA"/>
              </w:rPr>
            </w:pPr>
            <w:r w:rsidRPr="007E0AC1">
              <w:rPr>
                <w:spacing w:val="0"/>
                <w:sz w:val="28"/>
                <w:szCs w:val="28"/>
                <w:lang w:val="uk-UA"/>
              </w:rPr>
              <w:t>653,1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78A0" w:rsidRPr="007E0AC1" w:rsidRDefault="000878A0" w:rsidP="000878A0">
            <w:pPr>
              <w:shd w:val="clear" w:color="auto" w:fill="FFFFFF"/>
              <w:autoSpaceDE w:val="0"/>
              <w:autoSpaceDN w:val="0"/>
              <w:adjustRightInd w:val="0"/>
              <w:rPr>
                <w:spacing w:val="0"/>
                <w:sz w:val="28"/>
                <w:szCs w:val="28"/>
                <w:lang w:val="uk-UA"/>
              </w:rPr>
            </w:pPr>
            <w:r w:rsidRPr="007E0AC1">
              <w:rPr>
                <w:spacing w:val="0"/>
                <w:sz w:val="28"/>
                <w:szCs w:val="28"/>
                <w:lang w:val="uk-UA"/>
              </w:rPr>
              <w:t>4669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78A0" w:rsidRPr="007E0AC1" w:rsidRDefault="000878A0" w:rsidP="000878A0">
            <w:pPr>
              <w:shd w:val="clear" w:color="auto" w:fill="FFFFFF"/>
              <w:autoSpaceDE w:val="0"/>
              <w:autoSpaceDN w:val="0"/>
              <w:adjustRightInd w:val="0"/>
              <w:rPr>
                <w:spacing w:val="0"/>
                <w:sz w:val="28"/>
                <w:szCs w:val="28"/>
                <w:lang w:val="uk-UA"/>
              </w:rPr>
            </w:pPr>
            <w:r w:rsidRPr="007E0AC1">
              <w:rPr>
                <w:spacing w:val="0"/>
                <w:sz w:val="28"/>
                <w:szCs w:val="28"/>
                <w:lang w:val="uk-UA"/>
              </w:rPr>
              <w:t>396,2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78A0" w:rsidRPr="007E0AC1" w:rsidRDefault="000878A0" w:rsidP="000878A0">
            <w:pPr>
              <w:shd w:val="clear" w:color="auto" w:fill="FFFFFF"/>
              <w:autoSpaceDE w:val="0"/>
              <w:autoSpaceDN w:val="0"/>
              <w:adjustRightInd w:val="0"/>
              <w:rPr>
                <w:spacing w:val="0"/>
                <w:sz w:val="28"/>
                <w:szCs w:val="28"/>
                <w:lang w:val="uk-UA"/>
              </w:rPr>
            </w:pPr>
            <w:r w:rsidRPr="007E0AC1">
              <w:rPr>
                <w:spacing w:val="0"/>
                <w:sz w:val="28"/>
                <w:szCs w:val="28"/>
                <w:lang w:val="uk-UA"/>
              </w:rPr>
              <w:t>3829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78A0" w:rsidRPr="007E0AC1" w:rsidRDefault="000878A0" w:rsidP="000878A0">
            <w:pPr>
              <w:shd w:val="clear" w:color="auto" w:fill="FFFFFF"/>
              <w:autoSpaceDE w:val="0"/>
              <w:autoSpaceDN w:val="0"/>
              <w:adjustRightInd w:val="0"/>
              <w:rPr>
                <w:spacing w:val="0"/>
                <w:sz w:val="28"/>
                <w:szCs w:val="28"/>
                <w:lang w:val="uk-UA"/>
              </w:rPr>
            </w:pPr>
            <w:r w:rsidRPr="007E0AC1">
              <w:rPr>
                <w:spacing w:val="0"/>
                <w:sz w:val="28"/>
                <w:szCs w:val="28"/>
                <w:lang w:val="uk-UA"/>
              </w:rPr>
              <w:t>1536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78A0" w:rsidRPr="007E0AC1" w:rsidRDefault="000878A0" w:rsidP="000878A0">
            <w:pPr>
              <w:shd w:val="clear" w:color="auto" w:fill="FFFFFF"/>
              <w:autoSpaceDE w:val="0"/>
              <w:autoSpaceDN w:val="0"/>
              <w:adjustRightInd w:val="0"/>
              <w:rPr>
                <w:spacing w:val="0"/>
                <w:sz w:val="28"/>
                <w:szCs w:val="28"/>
                <w:lang w:val="uk-UA"/>
              </w:rPr>
            </w:pPr>
            <w:r w:rsidRPr="007E0AC1">
              <w:rPr>
                <w:spacing w:val="0"/>
                <w:sz w:val="28"/>
                <w:szCs w:val="28"/>
                <w:lang w:val="uk-UA"/>
              </w:rPr>
              <w:t>8512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78A0" w:rsidRPr="007E0AC1" w:rsidRDefault="000878A0" w:rsidP="000878A0">
            <w:pPr>
              <w:shd w:val="clear" w:color="auto" w:fill="FFFFFF"/>
              <w:autoSpaceDE w:val="0"/>
              <w:autoSpaceDN w:val="0"/>
              <w:adjustRightInd w:val="0"/>
              <w:rPr>
                <w:spacing w:val="0"/>
                <w:sz w:val="28"/>
                <w:szCs w:val="28"/>
                <w:lang w:val="uk-UA"/>
              </w:rPr>
            </w:pPr>
            <w:r w:rsidRPr="007E0AC1">
              <w:rPr>
                <w:spacing w:val="0"/>
                <w:sz w:val="28"/>
                <w:szCs w:val="28"/>
                <w:lang w:val="uk-UA"/>
              </w:rPr>
              <w:t>1871</w:t>
            </w:r>
          </w:p>
        </w:tc>
      </w:tr>
      <w:tr w:rsidR="000878A0" w:rsidRPr="007E0AC1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4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78A0" w:rsidRPr="007E0AC1" w:rsidRDefault="000878A0" w:rsidP="000878A0">
            <w:pPr>
              <w:autoSpaceDE w:val="0"/>
              <w:autoSpaceDN w:val="0"/>
              <w:adjustRightInd w:val="0"/>
              <w:rPr>
                <w:spacing w:val="0"/>
                <w:sz w:val="28"/>
                <w:szCs w:val="28"/>
                <w:lang w:val="uk-UA"/>
              </w:rPr>
            </w:pP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78A0" w:rsidRPr="007E0AC1" w:rsidRDefault="000878A0" w:rsidP="000878A0">
            <w:pPr>
              <w:shd w:val="clear" w:color="auto" w:fill="FFFFFF"/>
              <w:autoSpaceDE w:val="0"/>
              <w:autoSpaceDN w:val="0"/>
              <w:adjustRightInd w:val="0"/>
              <w:rPr>
                <w:spacing w:val="0"/>
                <w:sz w:val="28"/>
                <w:szCs w:val="28"/>
                <w:lang w:val="uk-UA"/>
              </w:rPr>
            </w:pPr>
            <w:r w:rsidRPr="007E0AC1">
              <w:rPr>
                <w:spacing w:val="0"/>
                <w:sz w:val="28"/>
                <w:szCs w:val="28"/>
                <w:lang w:val="uk-UA"/>
              </w:rPr>
              <w:t>Грудень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78A0" w:rsidRPr="007E0AC1" w:rsidRDefault="000878A0" w:rsidP="000878A0">
            <w:pPr>
              <w:shd w:val="clear" w:color="auto" w:fill="FFFFFF"/>
              <w:autoSpaceDE w:val="0"/>
              <w:autoSpaceDN w:val="0"/>
              <w:adjustRightInd w:val="0"/>
              <w:rPr>
                <w:spacing w:val="0"/>
                <w:sz w:val="28"/>
                <w:szCs w:val="28"/>
                <w:lang w:val="uk-UA"/>
              </w:rPr>
            </w:pPr>
            <w:r w:rsidRPr="007E0AC1">
              <w:rPr>
                <w:spacing w:val="0"/>
                <w:sz w:val="28"/>
                <w:szCs w:val="28"/>
                <w:lang w:val="uk-UA"/>
              </w:rPr>
              <w:t>301,4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78A0" w:rsidRPr="007E0AC1" w:rsidRDefault="000878A0" w:rsidP="000878A0">
            <w:pPr>
              <w:shd w:val="clear" w:color="auto" w:fill="FFFFFF"/>
              <w:autoSpaceDE w:val="0"/>
              <w:autoSpaceDN w:val="0"/>
              <w:adjustRightInd w:val="0"/>
              <w:rPr>
                <w:spacing w:val="0"/>
                <w:sz w:val="28"/>
                <w:szCs w:val="28"/>
                <w:lang w:val="uk-UA"/>
              </w:rPr>
            </w:pPr>
            <w:r w:rsidRPr="007E0AC1">
              <w:rPr>
                <w:spacing w:val="0"/>
                <w:sz w:val="28"/>
                <w:szCs w:val="28"/>
                <w:lang w:val="uk-UA"/>
              </w:rPr>
              <w:t>631,9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78A0" w:rsidRPr="007E0AC1" w:rsidRDefault="000878A0" w:rsidP="000878A0">
            <w:pPr>
              <w:shd w:val="clear" w:color="auto" w:fill="FFFFFF"/>
              <w:autoSpaceDE w:val="0"/>
              <w:autoSpaceDN w:val="0"/>
              <w:adjustRightInd w:val="0"/>
              <w:rPr>
                <w:spacing w:val="0"/>
                <w:sz w:val="28"/>
                <w:szCs w:val="28"/>
                <w:lang w:val="uk-UA"/>
              </w:rPr>
            </w:pPr>
            <w:r w:rsidRPr="007E0AC1">
              <w:rPr>
                <w:spacing w:val="0"/>
                <w:sz w:val="28"/>
                <w:szCs w:val="28"/>
                <w:lang w:val="uk-UA"/>
              </w:rPr>
              <w:t>4810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78A0" w:rsidRPr="007E0AC1" w:rsidRDefault="000878A0" w:rsidP="000878A0">
            <w:pPr>
              <w:shd w:val="clear" w:color="auto" w:fill="FFFFFF"/>
              <w:autoSpaceDE w:val="0"/>
              <w:autoSpaceDN w:val="0"/>
              <w:adjustRightInd w:val="0"/>
              <w:rPr>
                <w:spacing w:val="0"/>
                <w:sz w:val="28"/>
                <w:szCs w:val="28"/>
                <w:lang w:val="uk-UA"/>
              </w:rPr>
            </w:pPr>
            <w:r w:rsidRPr="007E0AC1">
              <w:rPr>
                <w:spacing w:val="0"/>
                <w:sz w:val="28"/>
                <w:szCs w:val="28"/>
                <w:lang w:val="uk-UA"/>
              </w:rPr>
              <w:t>903,3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78A0" w:rsidRPr="007E0AC1" w:rsidRDefault="000878A0" w:rsidP="000878A0">
            <w:pPr>
              <w:shd w:val="clear" w:color="auto" w:fill="FFFFFF"/>
              <w:autoSpaceDE w:val="0"/>
              <w:autoSpaceDN w:val="0"/>
              <w:adjustRightInd w:val="0"/>
              <w:rPr>
                <w:spacing w:val="0"/>
                <w:sz w:val="28"/>
                <w:szCs w:val="28"/>
                <w:lang w:val="uk-UA"/>
              </w:rPr>
            </w:pPr>
            <w:r w:rsidRPr="007E0AC1">
              <w:rPr>
                <w:spacing w:val="0"/>
                <w:sz w:val="28"/>
                <w:szCs w:val="28"/>
                <w:lang w:val="uk-UA"/>
              </w:rPr>
              <w:t>8776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78A0" w:rsidRPr="007E0AC1" w:rsidRDefault="000878A0" w:rsidP="000878A0">
            <w:pPr>
              <w:shd w:val="clear" w:color="auto" w:fill="FFFFFF"/>
              <w:autoSpaceDE w:val="0"/>
              <w:autoSpaceDN w:val="0"/>
              <w:adjustRightInd w:val="0"/>
              <w:rPr>
                <w:spacing w:val="0"/>
                <w:sz w:val="28"/>
                <w:szCs w:val="28"/>
                <w:lang w:val="uk-UA"/>
              </w:rPr>
            </w:pPr>
            <w:r w:rsidRPr="007E0AC1">
              <w:rPr>
                <w:spacing w:val="0"/>
                <w:sz w:val="28"/>
                <w:szCs w:val="28"/>
                <w:lang w:val="uk-UA"/>
              </w:rPr>
              <w:t>1577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78A0" w:rsidRPr="007E0AC1" w:rsidRDefault="000878A0" w:rsidP="000878A0">
            <w:pPr>
              <w:shd w:val="clear" w:color="auto" w:fill="FFFFFF"/>
              <w:autoSpaceDE w:val="0"/>
              <w:autoSpaceDN w:val="0"/>
              <w:adjustRightInd w:val="0"/>
              <w:rPr>
                <w:spacing w:val="0"/>
                <w:sz w:val="28"/>
                <w:szCs w:val="28"/>
                <w:lang w:val="uk-UA"/>
              </w:rPr>
            </w:pPr>
            <w:r w:rsidRPr="007E0AC1">
              <w:rPr>
                <w:spacing w:val="0"/>
                <w:sz w:val="28"/>
                <w:szCs w:val="28"/>
                <w:lang w:val="uk-UA"/>
              </w:rPr>
              <w:t>8860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78A0" w:rsidRPr="007E0AC1" w:rsidRDefault="000878A0" w:rsidP="000878A0">
            <w:pPr>
              <w:shd w:val="clear" w:color="auto" w:fill="FFFFFF"/>
              <w:autoSpaceDE w:val="0"/>
              <w:autoSpaceDN w:val="0"/>
              <w:adjustRightInd w:val="0"/>
              <w:rPr>
                <w:spacing w:val="0"/>
                <w:sz w:val="28"/>
                <w:szCs w:val="28"/>
                <w:lang w:val="uk-UA"/>
              </w:rPr>
            </w:pPr>
            <w:r w:rsidRPr="007E0AC1">
              <w:rPr>
                <w:spacing w:val="0"/>
                <w:sz w:val="28"/>
                <w:szCs w:val="28"/>
                <w:lang w:val="uk-UA"/>
              </w:rPr>
              <w:t>1821</w:t>
            </w:r>
          </w:p>
        </w:tc>
      </w:tr>
      <w:tr w:rsidR="00675D72" w:rsidRPr="007E0AC1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645" w:type="dxa"/>
            <w:gridSpan w:val="10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5D72" w:rsidRPr="007E0AC1" w:rsidRDefault="00675D72" w:rsidP="000878A0">
            <w:pPr>
              <w:shd w:val="clear" w:color="auto" w:fill="FFFFFF"/>
              <w:autoSpaceDE w:val="0"/>
              <w:autoSpaceDN w:val="0"/>
              <w:adjustRightInd w:val="0"/>
              <w:rPr>
                <w:spacing w:val="0"/>
                <w:sz w:val="28"/>
                <w:szCs w:val="28"/>
                <w:lang w:val="uk-UA"/>
              </w:rPr>
            </w:pPr>
            <w:r w:rsidRPr="007E0AC1">
              <w:rPr>
                <w:spacing w:val="0"/>
                <w:sz w:val="28"/>
                <w:szCs w:val="28"/>
                <w:lang w:val="uk-UA"/>
              </w:rPr>
              <w:t>2009</w:t>
            </w:r>
          </w:p>
        </w:tc>
      </w:tr>
      <w:tr w:rsidR="00675D72" w:rsidRPr="007E0AC1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80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5D72" w:rsidRPr="007E0AC1" w:rsidRDefault="00675D72" w:rsidP="000017E8">
            <w:pPr>
              <w:shd w:val="clear" w:color="auto" w:fill="FFFFFF"/>
              <w:autoSpaceDE w:val="0"/>
              <w:autoSpaceDN w:val="0"/>
              <w:adjustRightInd w:val="0"/>
              <w:rPr>
                <w:spacing w:val="0"/>
                <w:sz w:val="28"/>
                <w:szCs w:val="28"/>
                <w:lang w:val="uk-UA"/>
              </w:rPr>
            </w:pPr>
            <w:r w:rsidRPr="007E0AC1">
              <w:rPr>
                <w:spacing w:val="0"/>
                <w:sz w:val="28"/>
                <w:szCs w:val="28"/>
                <w:lang w:val="uk-UA"/>
              </w:rPr>
              <w:t xml:space="preserve">Січень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5D72" w:rsidRPr="007E0AC1" w:rsidRDefault="00675D72" w:rsidP="000878A0">
            <w:pPr>
              <w:shd w:val="clear" w:color="auto" w:fill="FFFFFF"/>
              <w:autoSpaceDE w:val="0"/>
              <w:autoSpaceDN w:val="0"/>
              <w:adjustRightInd w:val="0"/>
              <w:rPr>
                <w:spacing w:val="0"/>
                <w:sz w:val="28"/>
                <w:szCs w:val="28"/>
                <w:lang w:val="uk-UA"/>
              </w:rPr>
            </w:pPr>
            <w:r w:rsidRPr="007E0AC1">
              <w:rPr>
                <w:spacing w:val="0"/>
                <w:sz w:val="28"/>
                <w:szCs w:val="28"/>
                <w:lang w:val="uk-UA"/>
              </w:rPr>
              <w:t>274,6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5D72" w:rsidRPr="007E0AC1" w:rsidRDefault="00675D72" w:rsidP="000878A0">
            <w:pPr>
              <w:shd w:val="clear" w:color="auto" w:fill="FFFFFF"/>
              <w:autoSpaceDE w:val="0"/>
              <w:autoSpaceDN w:val="0"/>
              <w:adjustRightInd w:val="0"/>
              <w:rPr>
                <w:spacing w:val="0"/>
                <w:sz w:val="28"/>
                <w:szCs w:val="28"/>
                <w:lang w:val="uk-UA"/>
              </w:rPr>
            </w:pPr>
            <w:r w:rsidRPr="007E0AC1">
              <w:rPr>
                <w:spacing w:val="0"/>
                <w:sz w:val="28"/>
                <w:szCs w:val="28"/>
                <w:lang w:val="uk-UA"/>
              </w:rPr>
              <w:t>535,0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5D72" w:rsidRPr="007E0AC1" w:rsidRDefault="00675D72" w:rsidP="000878A0">
            <w:pPr>
              <w:shd w:val="clear" w:color="auto" w:fill="FFFFFF"/>
              <w:autoSpaceDE w:val="0"/>
              <w:autoSpaceDN w:val="0"/>
              <w:adjustRightInd w:val="0"/>
              <w:rPr>
                <w:spacing w:val="0"/>
                <w:sz w:val="28"/>
                <w:szCs w:val="28"/>
                <w:lang w:val="uk-UA"/>
              </w:rPr>
            </w:pPr>
            <w:r w:rsidRPr="007E0AC1">
              <w:rPr>
                <w:spacing w:val="0"/>
                <w:sz w:val="28"/>
                <w:szCs w:val="28"/>
                <w:lang w:val="uk-UA"/>
              </w:rPr>
              <w:t>4338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5D72" w:rsidRPr="007E0AC1" w:rsidRDefault="00675D72" w:rsidP="000878A0">
            <w:pPr>
              <w:shd w:val="clear" w:color="auto" w:fill="FFFFFF"/>
              <w:autoSpaceDE w:val="0"/>
              <w:autoSpaceDN w:val="0"/>
              <w:adjustRightInd w:val="0"/>
              <w:rPr>
                <w:spacing w:val="0"/>
                <w:sz w:val="28"/>
                <w:szCs w:val="28"/>
                <w:lang w:val="uk-UA"/>
              </w:rPr>
            </w:pPr>
            <w:r w:rsidRPr="007E0AC1">
              <w:rPr>
                <w:spacing w:val="0"/>
                <w:sz w:val="28"/>
                <w:szCs w:val="28"/>
                <w:lang w:val="uk-UA"/>
              </w:rPr>
              <w:t>825,9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5D72" w:rsidRPr="007E0AC1" w:rsidRDefault="00675D72" w:rsidP="000878A0">
            <w:pPr>
              <w:shd w:val="clear" w:color="auto" w:fill="FFFFFF"/>
              <w:autoSpaceDE w:val="0"/>
              <w:autoSpaceDN w:val="0"/>
              <w:adjustRightInd w:val="0"/>
              <w:rPr>
                <w:spacing w:val="0"/>
                <w:sz w:val="28"/>
                <w:szCs w:val="28"/>
                <w:lang w:val="uk-UA"/>
              </w:rPr>
            </w:pPr>
            <w:r w:rsidRPr="007E0AC1">
              <w:rPr>
                <w:spacing w:val="0"/>
                <w:sz w:val="28"/>
                <w:szCs w:val="28"/>
                <w:lang w:val="uk-UA"/>
              </w:rPr>
              <w:t>8001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5D72" w:rsidRPr="007E0AC1" w:rsidRDefault="00675D72" w:rsidP="000878A0">
            <w:pPr>
              <w:shd w:val="clear" w:color="auto" w:fill="FFFFFF"/>
              <w:autoSpaceDE w:val="0"/>
              <w:autoSpaceDN w:val="0"/>
              <w:adjustRightInd w:val="0"/>
              <w:rPr>
                <w:spacing w:val="0"/>
                <w:sz w:val="28"/>
                <w:szCs w:val="28"/>
                <w:lang w:val="uk-UA"/>
              </w:rPr>
            </w:pPr>
            <w:r w:rsidRPr="007E0AC1">
              <w:rPr>
                <w:spacing w:val="0"/>
                <w:sz w:val="28"/>
                <w:szCs w:val="28"/>
                <w:lang w:val="uk-UA"/>
              </w:rPr>
              <w:t>1476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5D72" w:rsidRPr="007E0AC1" w:rsidRDefault="00675D72" w:rsidP="000878A0">
            <w:pPr>
              <w:shd w:val="clear" w:color="auto" w:fill="FFFFFF"/>
              <w:autoSpaceDE w:val="0"/>
              <w:autoSpaceDN w:val="0"/>
              <w:adjustRightInd w:val="0"/>
              <w:rPr>
                <w:spacing w:val="0"/>
                <w:sz w:val="28"/>
                <w:szCs w:val="28"/>
                <w:lang w:val="uk-UA"/>
              </w:rPr>
            </w:pPr>
            <w:r w:rsidRPr="007E0AC1">
              <w:rPr>
                <w:spacing w:val="0"/>
                <w:sz w:val="28"/>
                <w:szCs w:val="28"/>
                <w:lang w:val="uk-UA"/>
              </w:rPr>
              <w:t>7994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5D72" w:rsidRPr="007E0AC1" w:rsidRDefault="00675D72" w:rsidP="000878A0">
            <w:pPr>
              <w:shd w:val="clear" w:color="auto" w:fill="FFFFFF"/>
              <w:autoSpaceDE w:val="0"/>
              <w:autoSpaceDN w:val="0"/>
              <w:adjustRightInd w:val="0"/>
              <w:rPr>
                <w:spacing w:val="0"/>
                <w:sz w:val="28"/>
                <w:szCs w:val="28"/>
                <w:lang w:val="uk-UA"/>
              </w:rPr>
            </w:pPr>
            <w:r w:rsidRPr="007E0AC1">
              <w:rPr>
                <w:spacing w:val="0"/>
                <w:sz w:val="28"/>
                <w:szCs w:val="28"/>
                <w:lang w:val="uk-UA"/>
              </w:rPr>
              <w:t>1991</w:t>
            </w:r>
          </w:p>
        </w:tc>
      </w:tr>
      <w:tr w:rsidR="00675D72" w:rsidRPr="007E0AC1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5D72" w:rsidRPr="007E0AC1" w:rsidRDefault="00675D72" w:rsidP="000878A0">
            <w:pPr>
              <w:shd w:val="clear" w:color="auto" w:fill="FFFFFF"/>
              <w:autoSpaceDE w:val="0"/>
              <w:autoSpaceDN w:val="0"/>
              <w:adjustRightInd w:val="0"/>
              <w:rPr>
                <w:spacing w:val="0"/>
                <w:sz w:val="28"/>
                <w:szCs w:val="28"/>
                <w:lang w:val="uk-UA"/>
              </w:rPr>
            </w:pPr>
            <w:r w:rsidRPr="007E0AC1">
              <w:rPr>
                <w:iCs/>
                <w:spacing w:val="0"/>
                <w:sz w:val="28"/>
                <w:szCs w:val="28"/>
                <w:lang w:val="uk-UA"/>
              </w:rPr>
              <w:t>Зміна, %</w:t>
            </w:r>
          </w:p>
        </w:tc>
        <w:tc>
          <w:tcPr>
            <w:tcW w:w="784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5D72" w:rsidRPr="007E0AC1" w:rsidRDefault="00675D72" w:rsidP="000878A0">
            <w:pPr>
              <w:shd w:val="clear" w:color="auto" w:fill="FFFFFF"/>
              <w:autoSpaceDE w:val="0"/>
              <w:autoSpaceDN w:val="0"/>
              <w:adjustRightInd w:val="0"/>
              <w:rPr>
                <w:spacing w:val="0"/>
                <w:sz w:val="28"/>
                <w:szCs w:val="28"/>
                <w:lang w:val="uk-UA"/>
              </w:rPr>
            </w:pPr>
          </w:p>
        </w:tc>
      </w:tr>
      <w:tr w:rsidR="00675D72" w:rsidRPr="007E0AC1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5D72" w:rsidRPr="007E0AC1" w:rsidRDefault="00675D72" w:rsidP="000878A0">
            <w:pPr>
              <w:shd w:val="clear" w:color="auto" w:fill="FFFFFF"/>
              <w:autoSpaceDE w:val="0"/>
              <w:autoSpaceDN w:val="0"/>
              <w:adjustRightInd w:val="0"/>
              <w:rPr>
                <w:spacing w:val="0"/>
                <w:sz w:val="28"/>
                <w:szCs w:val="28"/>
                <w:lang w:val="uk-UA"/>
              </w:rPr>
            </w:pPr>
            <w:r w:rsidRPr="007E0AC1">
              <w:rPr>
                <w:spacing w:val="0"/>
                <w:sz w:val="28"/>
                <w:szCs w:val="28"/>
                <w:lang w:val="uk-UA"/>
              </w:rPr>
              <w:t>За 2008 рік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5D72" w:rsidRPr="007E0AC1" w:rsidRDefault="00675D72" w:rsidP="000878A0">
            <w:pPr>
              <w:shd w:val="clear" w:color="auto" w:fill="FFFFFF"/>
              <w:autoSpaceDE w:val="0"/>
              <w:autoSpaceDN w:val="0"/>
              <w:adjustRightInd w:val="0"/>
              <w:rPr>
                <w:spacing w:val="0"/>
                <w:sz w:val="28"/>
                <w:szCs w:val="28"/>
                <w:lang w:val="uk-UA"/>
              </w:rPr>
            </w:pPr>
            <w:r w:rsidRPr="007E0AC1">
              <w:rPr>
                <w:spacing w:val="0"/>
                <w:sz w:val="28"/>
                <w:szCs w:val="28"/>
                <w:lang w:val="uk-UA"/>
              </w:rPr>
              <w:t>-74,33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5D72" w:rsidRPr="007E0AC1" w:rsidRDefault="00675D72" w:rsidP="000878A0">
            <w:pPr>
              <w:shd w:val="clear" w:color="auto" w:fill="FFFFFF"/>
              <w:autoSpaceDE w:val="0"/>
              <w:autoSpaceDN w:val="0"/>
              <w:adjustRightInd w:val="0"/>
              <w:rPr>
                <w:spacing w:val="0"/>
                <w:sz w:val="28"/>
                <w:szCs w:val="28"/>
                <w:lang w:val="uk-UA"/>
              </w:rPr>
            </w:pPr>
            <w:r w:rsidRPr="007E0AC1">
              <w:rPr>
                <w:spacing w:val="0"/>
                <w:sz w:val="28"/>
                <w:szCs w:val="28"/>
                <w:lang w:val="uk-UA"/>
              </w:rPr>
              <w:t>-72,41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5D72" w:rsidRPr="007E0AC1" w:rsidRDefault="00675D72" w:rsidP="000878A0">
            <w:pPr>
              <w:shd w:val="clear" w:color="auto" w:fill="FFFFFF"/>
              <w:autoSpaceDE w:val="0"/>
              <w:autoSpaceDN w:val="0"/>
              <w:adjustRightInd w:val="0"/>
              <w:rPr>
                <w:spacing w:val="0"/>
                <w:sz w:val="28"/>
                <w:szCs w:val="28"/>
                <w:lang w:val="uk-UA"/>
              </w:rPr>
            </w:pPr>
            <w:r w:rsidRPr="007E0AC1">
              <w:rPr>
                <w:spacing w:val="0"/>
                <w:sz w:val="28"/>
                <w:szCs w:val="28"/>
                <w:lang w:val="uk-UA"/>
              </w:rPr>
              <w:t>-40,37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5D72" w:rsidRPr="007E0AC1" w:rsidRDefault="00675D72" w:rsidP="000878A0">
            <w:pPr>
              <w:shd w:val="clear" w:color="auto" w:fill="FFFFFF"/>
              <w:autoSpaceDE w:val="0"/>
              <w:autoSpaceDN w:val="0"/>
              <w:adjustRightInd w:val="0"/>
              <w:rPr>
                <w:spacing w:val="0"/>
                <w:sz w:val="28"/>
                <w:szCs w:val="28"/>
                <w:lang w:val="uk-UA"/>
              </w:rPr>
            </w:pPr>
            <w:r w:rsidRPr="007E0AC1">
              <w:rPr>
                <w:spacing w:val="0"/>
                <w:sz w:val="28"/>
                <w:szCs w:val="28"/>
                <w:lang w:val="uk-UA"/>
              </w:rPr>
              <w:t>-38,49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5D72" w:rsidRPr="007E0AC1" w:rsidRDefault="00675D72" w:rsidP="000878A0">
            <w:pPr>
              <w:shd w:val="clear" w:color="auto" w:fill="FFFFFF"/>
              <w:autoSpaceDE w:val="0"/>
              <w:autoSpaceDN w:val="0"/>
              <w:adjustRightInd w:val="0"/>
              <w:rPr>
                <w:spacing w:val="0"/>
                <w:sz w:val="28"/>
                <w:szCs w:val="28"/>
                <w:lang w:val="uk-UA"/>
              </w:rPr>
            </w:pPr>
            <w:r w:rsidRPr="007E0AC1">
              <w:rPr>
                <w:spacing w:val="0"/>
                <w:sz w:val="28"/>
                <w:szCs w:val="28"/>
                <w:lang w:val="uk-UA"/>
              </w:rPr>
              <w:t>-33,34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5D72" w:rsidRPr="007E0AC1" w:rsidRDefault="00675D72" w:rsidP="000878A0">
            <w:pPr>
              <w:shd w:val="clear" w:color="auto" w:fill="FFFFFF"/>
              <w:autoSpaceDE w:val="0"/>
              <w:autoSpaceDN w:val="0"/>
              <w:adjustRightInd w:val="0"/>
              <w:rPr>
                <w:spacing w:val="0"/>
                <w:sz w:val="28"/>
                <w:szCs w:val="28"/>
                <w:lang w:val="uk-UA"/>
              </w:rPr>
            </w:pPr>
            <w:r w:rsidRPr="007E0AC1">
              <w:rPr>
                <w:spacing w:val="0"/>
                <w:sz w:val="28"/>
                <w:szCs w:val="28"/>
                <w:lang w:val="uk-UA"/>
              </w:rPr>
              <w:t>-40,54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5D72" w:rsidRPr="007E0AC1" w:rsidRDefault="00675D72" w:rsidP="000878A0">
            <w:pPr>
              <w:shd w:val="clear" w:color="auto" w:fill="FFFFFF"/>
              <w:autoSpaceDE w:val="0"/>
              <w:autoSpaceDN w:val="0"/>
              <w:adjustRightInd w:val="0"/>
              <w:rPr>
                <w:spacing w:val="0"/>
                <w:sz w:val="28"/>
                <w:szCs w:val="28"/>
                <w:lang w:val="uk-UA"/>
              </w:rPr>
            </w:pPr>
            <w:r w:rsidRPr="007E0AC1">
              <w:rPr>
                <w:spacing w:val="0"/>
                <w:sz w:val="28"/>
                <w:szCs w:val="28"/>
                <w:lang w:val="uk-UA"/>
              </w:rPr>
              <w:t>-42,12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5D72" w:rsidRPr="007E0AC1" w:rsidRDefault="00675D72" w:rsidP="000878A0">
            <w:pPr>
              <w:shd w:val="clear" w:color="auto" w:fill="FFFFFF"/>
              <w:autoSpaceDE w:val="0"/>
              <w:autoSpaceDN w:val="0"/>
              <w:adjustRightInd w:val="0"/>
              <w:rPr>
                <w:spacing w:val="0"/>
                <w:sz w:val="28"/>
                <w:szCs w:val="28"/>
                <w:lang w:val="uk-UA"/>
              </w:rPr>
            </w:pPr>
            <w:r w:rsidRPr="007E0AC1">
              <w:rPr>
                <w:spacing w:val="0"/>
                <w:sz w:val="28"/>
                <w:szCs w:val="28"/>
                <w:lang w:val="uk-UA"/>
              </w:rPr>
              <w:t>-65,39</w:t>
            </w:r>
          </w:p>
        </w:tc>
      </w:tr>
      <w:tr w:rsidR="00675D72" w:rsidRPr="007E0AC1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5D72" w:rsidRPr="007E0AC1" w:rsidRDefault="00675D72" w:rsidP="000878A0">
            <w:pPr>
              <w:shd w:val="clear" w:color="auto" w:fill="FFFFFF"/>
              <w:autoSpaceDE w:val="0"/>
              <w:autoSpaceDN w:val="0"/>
              <w:adjustRightInd w:val="0"/>
              <w:rPr>
                <w:spacing w:val="0"/>
                <w:sz w:val="28"/>
                <w:szCs w:val="28"/>
                <w:lang w:val="uk-UA"/>
              </w:rPr>
            </w:pPr>
            <w:r w:rsidRPr="007E0AC1">
              <w:rPr>
                <w:spacing w:val="0"/>
                <w:sz w:val="28"/>
                <w:szCs w:val="28"/>
                <w:lang w:val="uk-UA"/>
              </w:rPr>
              <w:t>За 12 місяців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5D72" w:rsidRPr="007E0AC1" w:rsidRDefault="00675D72" w:rsidP="000878A0">
            <w:pPr>
              <w:shd w:val="clear" w:color="auto" w:fill="FFFFFF"/>
              <w:autoSpaceDE w:val="0"/>
              <w:autoSpaceDN w:val="0"/>
              <w:adjustRightInd w:val="0"/>
              <w:rPr>
                <w:spacing w:val="0"/>
                <w:sz w:val="28"/>
                <w:szCs w:val="28"/>
                <w:lang w:val="uk-UA"/>
              </w:rPr>
            </w:pPr>
            <w:r w:rsidRPr="007E0AC1">
              <w:rPr>
                <w:spacing w:val="0"/>
                <w:sz w:val="28"/>
                <w:szCs w:val="28"/>
                <w:lang w:val="uk-UA"/>
              </w:rPr>
              <w:t>-74,90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5D72" w:rsidRPr="007E0AC1" w:rsidRDefault="00675D72" w:rsidP="000878A0">
            <w:pPr>
              <w:shd w:val="clear" w:color="auto" w:fill="FFFFFF"/>
              <w:autoSpaceDE w:val="0"/>
              <w:autoSpaceDN w:val="0"/>
              <w:adjustRightInd w:val="0"/>
              <w:rPr>
                <w:spacing w:val="0"/>
                <w:sz w:val="28"/>
                <w:szCs w:val="28"/>
                <w:lang w:val="uk-UA"/>
              </w:rPr>
            </w:pPr>
            <w:r w:rsidRPr="007E0AC1">
              <w:rPr>
                <w:spacing w:val="0"/>
                <w:sz w:val="28"/>
                <w:szCs w:val="28"/>
                <w:lang w:val="uk-UA"/>
              </w:rPr>
              <w:t>-71,94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5D72" w:rsidRPr="007E0AC1" w:rsidRDefault="00675D72" w:rsidP="000878A0">
            <w:pPr>
              <w:shd w:val="clear" w:color="auto" w:fill="FFFFFF"/>
              <w:autoSpaceDE w:val="0"/>
              <w:autoSpaceDN w:val="0"/>
              <w:adjustRightInd w:val="0"/>
              <w:rPr>
                <w:spacing w:val="0"/>
                <w:sz w:val="28"/>
                <w:szCs w:val="28"/>
                <w:lang w:val="uk-UA"/>
              </w:rPr>
            </w:pPr>
            <w:r w:rsidRPr="007E0AC1">
              <w:rPr>
                <w:spacing w:val="0"/>
                <w:sz w:val="28"/>
                <w:szCs w:val="28"/>
                <w:lang w:val="uk-UA"/>
              </w:rPr>
              <w:t>-36,63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5D72" w:rsidRPr="007E0AC1" w:rsidRDefault="00675D72" w:rsidP="000878A0">
            <w:pPr>
              <w:shd w:val="clear" w:color="auto" w:fill="FFFFFF"/>
              <w:autoSpaceDE w:val="0"/>
              <w:autoSpaceDN w:val="0"/>
              <w:adjustRightInd w:val="0"/>
              <w:rPr>
                <w:spacing w:val="0"/>
                <w:sz w:val="28"/>
                <w:szCs w:val="28"/>
                <w:lang w:val="uk-UA"/>
              </w:rPr>
            </w:pPr>
            <w:r w:rsidRPr="007E0AC1">
              <w:rPr>
                <w:spacing w:val="0"/>
                <w:sz w:val="28"/>
                <w:szCs w:val="28"/>
                <w:lang w:val="uk-UA"/>
              </w:rPr>
              <w:t>-40,09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5D72" w:rsidRPr="007E0AC1" w:rsidRDefault="00675D72" w:rsidP="000878A0">
            <w:pPr>
              <w:shd w:val="clear" w:color="auto" w:fill="FFFFFF"/>
              <w:autoSpaceDE w:val="0"/>
              <w:autoSpaceDN w:val="0"/>
              <w:adjustRightInd w:val="0"/>
              <w:rPr>
                <w:spacing w:val="0"/>
                <w:sz w:val="28"/>
                <w:szCs w:val="28"/>
                <w:lang w:val="uk-UA"/>
              </w:rPr>
            </w:pPr>
            <w:r w:rsidRPr="007E0AC1">
              <w:rPr>
                <w:spacing w:val="0"/>
                <w:sz w:val="28"/>
                <w:szCs w:val="28"/>
                <w:lang w:val="uk-UA"/>
              </w:rPr>
              <w:t>-36,75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5D72" w:rsidRPr="007E0AC1" w:rsidRDefault="00675D72" w:rsidP="000878A0">
            <w:pPr>
              <w:shd w:val="clear" w:color="auto" w:fill="FFFFFF"/>
              <w:autoSpaceDE w:val="0"/>
              <w:autoSpaceDN w:val="0"/>
              <w:adjustRightInd w:val="0"/>
              <w:rPr>
                <w:spacing w:val="0"/>
                <w:sz w:val="28"/>
                <w:szCs w:val="28"/>
                <w:lang w:val="uk-UA"/>
              </w:rPr>
            </w:pPr>
            <w:r w:rsidRPr="007E0AC1">
              <w:rPr>
                <w:spacing w:val="0"/>
                <w:sz w:val="28"/>
                <w:szCs w:val="28"/>
                <w:lang w:val="uk-UA"/>
              </w:rPr>
              <w:t>-38,22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5D72" w:rsidRPr="007E0AC1" w:rsidRDefault="00675D72" w:rsidP="000878A0">
            <w:pPr>
              <w:shd w:val="clear" w:color="auto" w:fill="FFFFFF"/>
              <w:autoSpaceDE w:val="0"/>
              <w:autoSpaceDN w:val="0"/>
              <w:adjustRightInd w:val="0"/>
              <w:rPr>
                <w:spacing w:val="0"/>
                <w:sz w:val="28"/>
                <w:szCs w:val="28"/>
                <w:lang w:val="uk-UA"/>
              </w:rPr>
            </w:pPr>
            <w:r w:rsidRPr="007E0AC1">
              <w:rPr>
                <w:spacing w:val="0"/>
                <w:sz w:val="28"/>
                <w:szCs w:val="28"/>
                <w:lang w:val="uk-UA"/>
              </w:rPr>
              <w:t>-41,19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5D72" w:rsidRPr="007E0AC1" w:rsidRDefault="00675D72" w:rsidP="000878A0">
            <w:pPr>
              <w:shd w:val="clear" w:color="auto" w:fill="FFFFFF"/>
              <w:autoSpaceDE w:val="0"/>
              <w:autoSpaceDN w:val="0"/>
              <w:adjustRightInd w:val="0"/>
              <w:rPr>
                <w:spacing w:val="0"/>
                <w:sz w:val="28"/>
                <w:szCs w:val="28"/>
                <w:lang w:val="uk-UA"/>
              </w:rPr>
            </w:pPr>
            <w:r w:rsidRPr="007E0AC1">
              <w:rPr>
                <w:spacing w:val="0"/>
                <w:sz w:val="28"/>
                <w:szCs w:val="28"/>
                <w:lang w:val="uk-UA"/>
              </w:rPr>
              <w:t>-54,59</w:t>
            </w:r>
          </w:p>
        </w:tc>
      </w:tr>
      <w:tr w:rsidR="00675D72" w:rsidRPr="007E0AC1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5D72" w:rsidRPr="007E0AC1" w:rsidRDefault="00675D72" w:rsidP="000878A0">
            <w:pPr>
              <w:shd w:val="clear" w:color="auto" w:fill="FFFFFF"/>
              <w:autoSpaceDE w:val="0"/>
              <w:autoSpaceDN w:val="0"/>
              <w:adjustRightInd w:val="0"/>
              <w:rPr>
                <w:spacing w:val="0"/>
                <w:sz w:val="28"/>
                <w:szCs w:val="28"/>
                <w:lang w:val="uk-UA"/>
              </w:rPr>
            </w:pPr>
            <w:r w:rsidRPr="007E0AC1">
              <w:rPr>
                <w:spacing w:val="0"/>
                <w:sz w:val="28"/>
                <w:szCs w:val="28"/>
                <w:lang w:val="uk-UA"/>
              </w:rPr>
              <w:t>За січень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5D72" w:rsidRPr="007E0AC1" w:rsidRDefault="00675D72" w:rsidP="000878A0">
            <w:pPr>
              <w:shd w:val="clear" w:color="auto" w:fill="FFFFFF"/>
              <w:autoSpaceDE w:val="0"/>
              <w:autoSpaceDN w:val="0"/>
              <w:adjustRightInd w:val="0"/>
              <w:rPr>
                <w:spacing w:val="0"/>
                <w:sz w:val="28"/>
                <w:szCs w:val="28"/>
                <w:lang w:val="uk-UA"/>
              </w:rPr>
            </w:pPr>
            <w:r w:rsidRPr="007E0AC1">
              <w:rPr>
                <w:spacing w:val="0"/>
                <w:sz w:val="28"/>
                <w:szCs w:val="28"/>
                <w:lang w:val="uk-UA"/>
              </w:rPr>
              <w:t>-8,90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5D72" w:rsidRPr="007E0AC1" w:rsidRDefault="00675D72" w:rsidP="000878A0">
            <w:pPr>
              <w:shd w:val="clear" w:color="auto" w:fill="FFFFFF"/>
              <w:autoSpaceDE w:val="0"/>
              <w:autoSpaceDN w:val="0"/>
              <w:adjustRightInd w:val="0"/>
              <w:rPr>
                <w:spacing w:val="0"/>
                <w:sz w:val="28"/>
                <w:szCs w:val="28"/>
                <w:lang w:val="uk-UA"/>
              </w:rPr>
            </w:pPr>
            <w:r w:rsidRPr="007E0AC1">
              <w:rPr>
                <w:spacing w:val="0"/>
                <w:sz w:val="28"/>
                <w:szCs w:val="28"/>
                <w:lang w:val="uk-UA"/>
              </w:rPr>
              <w:t>-15,33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5D72" w:rsidRPr="007E0AC1" w:rsidRDefault="00675D72" w:rsidP="000878A0">
            <w:pPr>
              <w:shd w:val="clear" w:color="auto" w:fill="FFFFFF"/>
              <w:autoSpaceDE w:val="0"/>
              <w:autoSpaceDN w:val="0"/>
              <w:adjustRightInd w:val="0"/>
              <w:rPr>
                <w:spacing w:val="0"/>
                <w:sz w:val="28"/>
                <w:szCs w:val="28"/>
                <w:lang w:val="uk-UA"/>
              </w:rPr>
            </w:pPr>
            <w:r w:rsidRPr="007E0AC1">
              <w:rPr>
                <w:spacing w:val="0"/>
                <w:sz w:val="28"/>
                <w:szCs w:val="28"/>
                <w:lang w:val="uk-UA"/>
              </w:rPr>
              <w:t>-9,81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5D72" w:rsidRPr="007E0AC1" w:rsidRDefault="00675D72" w:rsidP="000878A0">
            <w:pPr>
              <w:shd w:val="clear" w:color="auto" w:fill="FFFFFF"/>
              <w:autoSpaceDE w:val="0"/>
              <w:autoSpaceDN w:val="0"/>
              <w:adjustRightInd w:val="0"/>
              <w:rPr>
                <w:spacing w:val="0"/>
                <w:sz w:val="28"/>
                <w:szCs w:val="28"/>
                <w:lang w:val="uk-UA"/>
              </w:rPr>
            </w:pPr>
            <w:r w:rsidRPr="007E0AC1">
              <w:rPr>
                <w:spacing w:val="0"/>
                <w:sz w:val="28"/>
                <w:szCs w:val="28"/>
                <w:lang w:val="uk-UA"/>
              </w:rPr>
              <w:t>-8,57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5D72" w:rsidRPr="007E0AC1" w:rsidRDefault="00675D72" w:rsidP="000878A0">
            <w:pPr>
              <w:shd w:val="clear" w:color="auto" w:fill="FFFFFF"/>
              <w:autoSpaceDE w:val="0"/>
              <w:autoSpaceDN w:val="0"/>
              <w:adjustRightInd w:val="0"/>
              <w:rPr>
                <w:spacing w:val="0"/>
                <w:sz w:val="28"/>
                <w:szCs w:val="28"/>
                <w:lang w:val="uk-UA"/>
              </w:rPr>
            </w:pPr>
            <w:r w:rsidRPr="007E0AC1">
              <w:rPr>
                <w:spacing w:val="0"/>
                <w:sz w:val="28"/>
                <w:szCs w:val="28"/>
                <w:lang w:val="uk-UA"/>
              </w:rPr>
              <w:t>-8,84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5D72" w:rsidRPr="007E0AC1" w:rsidRDefault="00675D72" w:rsidP="000878A0">
            <w:pPr>
              <w:shd w:val="clear" w:color="auto" w:fill="FFFFFF"/>
              <w:autoSpaceDE w:val="0"/>
              <w:autoSpaceDN w:val="0"/>
              <w:adjustRightInd w:val="0"/>
              <w:rPr>
                <w:spacing w:val="0"/>
                <w:sz w:val="28"/>
                <w:szCs w:val="28"/>
                <w:lang w:val="uk-UA"/>
              </w:rPr>
            </w:pPr>
            <w:r w:rsidRPr="007E0AC1">
              <w:rPr>
                <w:spacing w:val="0"/>
                <w:sz w:val="28"/>
                <w:szCs w:val="28"/>
                <w:lang w:val="uk-UA"/>
              </w:rPr>
              <w:t>-6,38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5D72" w:rsidRPr="007E0AC1" w:rsidRDefault="00675D72" w:rsidP="000878A0">
            <w:pPr>
              <w:shd w:val="clear" w:color="auto" w:fill="FFFFFF"/>
              <w:autoSpaceDE w:val="0"/>
              <w:autoSpaceDN w:val="0"/>
              <w:adjustRightInd w:val="0"/>
              <w:rPr>
                <w:spacing w:val="0"/>
                <w:sz w:val="28"/>
                <w:szCs w:val="28"/>
                <w:lang w:val="uk-UA"/>
              </w:rPr>
            </w:pPr>
            <w:r w:rsidRPr="007E0AC1">
              <w:rPr>
                <w:spacing w:val="0"/>
                <w:sz w:val="28"/>
                <w:szCs w:val="28"/>
                <w:lang w:val="uk-UA"/>
              </w:rPr>
              <w:t>-9,77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5D72" w:rsidRPr="007E0AC1" w:rsidRDefault="00675D72" w:rsidP="000878A0">
            <w:pPr>
              <w:shd w:val="clear" w:color="auto" w:fill="FFFFFF"/>
              <w:autoSpaceDE w:val="0"/>
              <w:autoSpaceDN w:val="0"/>
              <w:adjustRightInd w:val="0"/>
              <w:rPr>
                <w:spacing w:val="0"/>
                <w:sz w:val="28"/>
                <w:szCs w:val="28"/>
                <w:lang w:val="uk-UA"/>
              </w:rPr>
            </w:pPr>
            <w:r w:rsidRPr="007E0AC1">
              <w:rPr>
                <w:spacing w:val="0"/>
                <w:sz w:val="28"/>
                <w:szCs w:val="28"/>
                <w:lang w:val="uk-UA"/>
              </w:rPr>
              <w:t>9,33</w:t>
            </w:r>
          </w:p>
        </w:tc>
      </w:tr>
    </w:tbl>
    <w:p w:rsidR="000878A0" w:rsidRPr="007E0AC1" w:rsidRDefault="000878A0" w:rsidP="002A70E9">
      <w:pPr>
        <w:shd w:val="clear" w:color="auto" w:fill="FFFFFF"/>
        <w:autoSpaceDE w:val="0"/>
        <w:autoSpaceDN w:val="0"/>
        <w:adjustRightInd w:val="0"/>
        <w:rPr>
          <w:spacing w:val="0"/>
          <w:sz w:val="28"/>
          <w:szCs w:val="28"/>
          <w:lang w:val="uk-UA"/>
        </w:rPr>
      </w:pPr>
    </w:p>
    <w:p w:rsidR="00E87793" w:rsidRPr="007E0AC1" w:rsidRDefault="00D37A8E" w:rsidP="00E87793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pacing w:val="0"/>
          <w:sz w:val="28"/>
          <w:szCs w:val="28"/>
          <w:lang w:val="uk-UA"/>
        </w:rPr>
      </w:pPr>
      <w:r w:rsidRPr="007E0AC1">
        <w:rPr>
          <w:spacing w:val="0"/>
          <w:sz w:val="28"/>
          <w:szCs w:val="28"/>
          <w:lang w:val="uk-UA"/>
        </w:rPr>
        <w:t>Негативними чинниками, які впливали на світові фондові індекси було: зниження низки провідних індексів (споживчої впевненості</w:t>
      </w:r>
      <w:r w:rsidR="00B36C90" w:rsidRPr="007E0AC1">
        <w:rPr>
          <w:spacing w:val="0"/>
          <w:sz w:val="28"/>
          <w:szCs w:val="28"/>
          <w:lang w:val="uk-UA"/>
        </w:rPr>
        <w:t>,</w:t>
      </w:r>
      <w:r w:rsidRPr="007E0AC1">
        <w:rPr>
          <w:spacing w:val="0"/>
          <w:sz w:val="28"/>
          <w:szCs w:val="28"/>
          <w:lang w:val="uk-UA"/>
        </w:rPr>
        <w:t xml:space="preserve"> ділової</w:t>
      </w:r>
      <w:r w:rsidR="00B36C90" w:rsidRPr="007E0AC1">
        <w:rPr>
          <w:spacing w:val="0"/>
          <w:sz w:val="28"/>
          <w:szCs w:val="28"/>
          <w:lang w:val="uk-UA"/>
        </w:rPr>
        <w:t xml:space="preserve"> </w:t>
      </w:r>
      <w:r w:rsidRPr="007E0AC1">
        <w:rPr>
          <w:spacing w:val="0"/>
          <w:sz w:val="28"/>
          <w:szCs w:val="28"/>
          <w:lang w:val="uk-UA"/>
        </w:rPr>
        <w:t>активності</w:t>
      </w:r>
      <w:r w:rsidR="00B36C90" w:rsidRPr="007E0AC1">
        <w:rPr>
          <w:spacing w:val="0"/>
          <w:sz w:val="28"/>
          <w:szCs w:val="28"/>
          <w:lang w:val="uk-UA"/>
        </w:rPr>
        <w:t>)</w:t>
      </w:r>
      <w:r w:rsidRPr="007E0AC1">
        <w:rPr>
          <w:spacing w:val="0"/>
          <w:sz w:val="28"/>
          <w:szCs w:val="28"/>
          <w:lang w:val="uk-UA"/>
        </w:rPr>
        <w:t>;</w:t>
      </w:r>
      <w:r w:rsidR="00B36C90" w:rsidRPr="007E0AC1">
        <w:rPr>
          <w:spacing w:val="0"/>
          <w:sz w:val="28"/>
          <w:szCs w:val="28"/>
          <w:lang w:val="uk-UA"/>
        </w:rPr>
        <w:t xml:space="preserve"> </w:t>
      </w:r>
      <w:r w:rsidRPr="007E0AC1">
        <w:rPr>
          <w:spacing w:val="0"/>
          <w:sz w:val="28"/>
          <w:szCs w:val="28"/>
          <w:lang w:val="uk-UA"/>
        </w:rPr>
        <w:t xml:space="preserve">зниження ВВП </w:t>
      </w:r>
      <w:r w:rsidR="00B36C90" w:rsidRPr="007E0AC1">
        <w:rPr>
          <w:spacing w:val="0"/>
          <w:sz w:val="28"/>
          <w:szCs w:val="28"/>
          <w:lang w:val="uk-UA"/>
        </w:rPr>
        <w:t>у</w:t>
      </w:r>
      <w:r w:rsidR="00E87793" w:rsidRPr="007E0AC1">
        <w:rPr>
          <w:spacing w:val="0"/>
          <w:sz w:val="28"/>
          <w:szCs w:val="28"/>
          <w:lang w:val="uk-UA"/>
        </w:rPr>
        <w:t xml:space="preserve"> провідних економіках світу</w:t>
      </w:r>
      <w:r w:rsidRPr="007E0AC1">
        <w:rPr>
          <w:spacing w:val="0"/>
          <w:sz w:val="28"/>
          <w:szCs w:val="28"/>
          <w:lang w:val="uk-UA"/>
        </w:rPr>
        <w:t>;</w:t>
      </w:r>
      <w:r w:rsidRPr="007E0AC1">
        <w:rPr>
          <w:i/>
          <w:iCs/>
          <w:spacing w:val="0"/>
          <w:sz w:val="28"/>
          <w:szCs w:val="28"/>
          <w:lang w:val="uk-UA"/>
        </w:rPr>
        <w:t xml:space="preserve"> </w:t>
      </w:r>
      <w:r w:rsidRPr="007E0AC1">
        <w:rPr>
          <w:spacing w:val="0"/>
          <w:sz w:val="28"/>
          <w:szCs w:val="28"/>
          <w:lang w:val="uk-UA"/>
        </w:rPr>
        <w:t>скорочення</w:t>
      </w:r>
      <w:r w:rsidR="00B36C90" w:rsidRPr="007E0AC1">
        <w:rPr>
          <w:spacing w:val="0"/>
          <w:sz w:val="28"/>
          <w:szCs w:val="28"/>
          <w:lang w:val="uk-UA"/>
        </w:rPr>
        <w:t xml:space="preserve">  </w:t>
      </w:r>
      <w:r w:rsidR="00BD4A98" w:rsidRPr="007E0AC1">
        <w:rPr>
          <w:spacing w:val="0"/>
          <w:sz w:val="28"/>
          <w:szCs w:val="28"/>
          <w:lang w:val="uk-UA"/>
        </w:rPr>
        <w:t>роздрібного товарообігу</w:t>
      </w:r>
      <w:r w:rsidRPr="007E0AC1">
        <w:rPr>
          <w:spacing w:val="0"/>
          <w:sz w:val="28"/>
          <w:szCs w:val="28"/>
          <w:lang w:val="uk-UA"/>
        </w:rPr>
        <w:t>;</w:t>
      </w:r>
      <w:r w:rsidR="00B36C90" w:rsidRPr="007E0AC1">
        <w:rPr>
          <w:spacing w:val="0"/>
          <w:sz w:val="28"/>
          <w:szCs w:val="28"/>
          <w:lang w:val="uk-UA"/>
        </w:rPr>
        <w:t xml:space="preserve"> </w:t>
      </w:r>
      <w:r w:rsidRPr="007E0AC1">
        <w:rPr>
          <w:spacing w:val="0"/>
          <w:sz w:val="28"/>
          <w:szCs w:val="28"/>
          <w:lang w:val="uk-UA"/>
        </w:rPr>
        <w:t xml:space="preserve">зниження </w:t>
      </w:r>
      <w:r w:rsidR="00BD4A98" w:rsidRPr="007E0AC1">
        <w:rPr>
          <w:spacing w:val="0"/>
          <w:sz w:val="28"/>
          <w:szCs w:val="28"/>
          <w:lang w:val="uk-UA"/>
        </w:rPr>
        <w:t>обсягу продаж</w:t>
      </w:r>
      <w:r w:rsidRPr="007E0AC1">
        <w:rPr>
          <w:spacing w:val="0"/>
          <w:sz w:val="28"/>
          <w:szCs w:val="28"/>
          <w:lang w:val="uk-UA"/>
        </w:rPr>
        <w:t xml:space="preserve"> на первинному ринку житла;</w:t>
      </w:r>
      <w:r w:rsidR="00C77905" w:rsidRPr="007E0AC1">
        <w:rPr>
          <w:spacing w:val="0"/>
          <w:sz w:val="28"/>
          <w:szCs w:val="28"/>
          <w:lang w:val="uk-UA"/>
        </w:rPr>
        <w:t xml:space="preserve"> </w:t>
      </w:r>
      <w:r w:rsidRPr="007E0AC1">
        <w:rPr>
          <w:spacing w:val="0"/>
          <w:sz w:val="28"/>
          <w:szCs w:val="28"/>
          <w:lang w:val="uk-UA"/>
        </w:rPr>
        <w:t>оприлюднення негативної корпоративної звітності (Citigroup, Bank of America, Intel Corp, Alcoa, General Electric).</w:t>
      </w:r>
      <w:r w:rsidR="00C77905" w:rsidRPr="007E0AC1">
        <w:rPr>
          <w:spacing w:val="0"/>
          <w:sz w:val="28"/>
          <w:szCs w:val="28"/>
          <w:lang w:val="uk-UA"/>
        </w:rPr>
        <w:t xml:space="preserve"> </w:t>
      </w:r>
      <w:r w:rsidR="00E87793" w:rsidRPr="007E0AC1">
        <w:rPr>
          <w:spacing w:val="0"/>
          <w:sz w:val="28"/>
          <w:szCs w:val="28"/>
          <w:lang w:val="uk-UA"/>
        </w:rPr>
        <w:t>Позитивні чинники</w:t>
      </w:r>
      <w:r w:rsidR="00E87793" w:rsidRPr="007E0AC1">
        <w:rPr>
          <w:spacing w:val="0"/>
          <w:lang w:val="uk-UA"/>
        </w:rPr>
        <w:t xml:space="preserve"> </w:t>
      </w:r>
      <w:r w:rsidR="00C77905" w:rsidRPr="007E0AC1">
        <w:rPr>
          <w:spacing w:val="0"/>
          <w:lang w:val="uk-UA"/>
        </w:rPr>
        <w:t>(</w:t>
      </w:r>
      <w:r w:rsidR="00E87793" w:rsidRPr="007E0AC1">
        <w:rPr>
          <w:spacing w:val="0"/>
          <w:sz w:val="28"/>
          <w:szCs w:val="28"/>
          <w:lang w:val="uk-UA"/>
        </w:rPr>
        <w:t>затвердження керівництвами низки країн програм щодо стимулювання національних економік і зниження відсоткових ставок провідними Центральними банками</w:t>
      </w:r>
      <w:r w:rsidR="00C77905" w:rsidRPr="007E0AC1">
        <w:rPr>
          <w:spacing w:val="0"/>
          <w:sz w:val="28"/>
          <w:szCs w:val="28"/>
          <w:lang w:val="uk-UA"/>
        </w:rPr>
        <w:t>)</w:t>
      </w:r>
      <w:r w:rsidR="00E87793" w:rsidRPr="007E0AC1">
        <w:rPr>
          <w:spacing w:val="0"/>
          <w:sz w:val="28"/>
          <w:szCs w:val="28"/>
          <w:lang w:val="uk-UA"/>
        </w:rPr>
        <w:t xml:space="preserve"> не змогли компенсувати вплив</w:t>
      </w:r>
      <w:r w:rsidR="00C77905" w:rsidRPr="007E0AC1">
        <w:rPr>
          <w:spacing w:val="0"/>
          <w:sz w:val="28"/>
          <w:szCs w:val="28"/>
          <w:lang w:val="uk-UA"/>
        </w:rPr>
        <w:t>у</w:t>
      </w:r>
      <w:r w:rsidR="00E87793" w:rsidRPr="007E0AC1">
        <w:rPr>
          <w:spacing w:val="0"/>
          <w:sz w:val="28"/>
          <w:szCs w:val="28"/>
          <w:lang w:val="uk-UA"/>
        </w:rPr>
        <w:t xml:space="preserve"> негативних.</w:t>
      </w:r>
    </w:p>
    <w:p w:rsidR="006A5E1C" w:rsidRPr="007E0AC1" w:rsidRDefault="00E87793" w:rsidP="006A5E1C">
      <w:pPr>
        <w:ind w:firstLine="720"/>
        <w:jc w:val="both"/>
        <w:rPr>
          <w:spacing w:val="0"/>
          <w:sz w:val="28"/>
          <w:szCs w:val="28"/>
          <w:lang w:val="uk-UA"/>
        </w:rPr>
      </w:pPr>
      <w:r w:rsidRPr="007E0AC1">
        <w:rPr>
          <w:spacing w:val="0"/>
          <w:sz w:val="28"/>
          <w:szCs w:val="28"/>
          <w:lang w:val="uk-UA"/>
        </w:rPr>
        <w:t>Позиції українського індексу погіршилися найбільше</w:t>
      </w:r>
      <w:r w:rsidR="00C77905" w:rsidRPr="007E0AC1">
        <w:rPr>
          <w:spacing w:val="0"/>
          <w:sz w:val="28"/>
          <w:szCs w:val="28"/>
          <w:lang w:val="uk-UA"/>
        </w:rPr>
        <w:t xml:space="preserve">. Індекс ПФТС </w:t>
      </w:r>
      <w:r w:rsidR="006A5E1C" w:rsidRPr="007E0AC1">
        <w:rPr>
          <w:spacing w:val="0"/>
          <w:sz w:val="28"/>
          <w:szCs w:val="28"/>
          <w:lang w:val="uk-UA"/>
        </w:rPr>
        <w:t>стрімко зростав</w:t>
      </w:r>
      <w:r w:rsidRPr="007E0AC1">
        <w:rPr>
          <w:spacing w:val="0"/>
          <w:sz w:val="28"/>
          <w:szCs w:val="28"/>
          <w:lang w:val="uk-UA"/>
        </w:rPr>
        <w:t xml:space="preserve"> протягом 20</w:t>
      </w:r>
      <w:r w:rsidR="006A5E1C" w:rsidRPr="007E0AC1">
        <w:rPr>
          <w:spacing w:val="0"/>
          <w:sz w:val="28"/>
          <w:szCs w:val="28"/>
          <w:lang w:val="uk-UA"/>
        </w:rPr>
        <w:t>05-2007</w:t>
      </w:r>
      <w:r w:rsidRPr="007E0AC1">
        <w:rPr>
          <w:spacing w:val="0"/>
          <w:sz w:val="28"/>
          <w:szCs w:val="28"/>
          <w:lang w:val="uk-UA"/>
        </w:rPr>
        <w:t xml:space="preserve"> рр. </w:t>
      </w:r>
      <w:r w:rsidR="006A5E1C" w:rsidRPr="007E0AC1">
        <w:rPr>
          <w:spacing w:val="0"/>
          <w:sz w:val="28"/>
          <w:szCs w:val="28"/>
          <w:lang w:val="uk-UA"/>
        </w:rPr>
        <w:t>з 353,0</w:t>
      </w:r>
      <w:r w:rsidRPr="007E0AC1">
        <w:rPr>
          <w:spacing w:val="0"/>
          <w:sz w:val="28"/>
          <w:szCs w:val="28"/>
          <w:lang w:val="uk-UA"/>
        </w:rPr>
        <w:t xml:space="preserve"> </w:t>
      </w:r>
      <w:r w:rsidR="006A5E1C" w:rsidRPr="007E0AC1">
        <w:rPr>
          <w:spacing w:val="0"/>
          <w:sz w:val="28"/>
          <w:szCs w:val="28"/>
          <w:lang w:val="uk-UA"/>
        </w:rPr>
        <w:t xml:space="preserve">до 1174 б.п. Протягом 6 місяців </w:t>
      </w:r>
      <w:r w:rsidR="006A5E1C" w:rsidRPr="007E0AC1">
        <w:rPr>
          <w:spacing w:val="0"/>
          <w:sz w:val="28"/>
          <w:szCs w:val="28"/>
          <w:lang w:val="uk-UA"/>
        </w:rPr>
        <w:lastRenderedPageBreak/>
        <w:t>(з 26.09.2007 р. по 25.03</w:t>
      </w:r>
      <w:r w:rsidR="00C77905" w:rsidRPr="007E0AC1">
        <w:rPr>
          <w:spacing w:val="0"/>
          <w:sz w:val="28"/>
          <w:szCs w:val="28"/>
          <w:lang w:val="uk-UA"/>
        </w:rPr>
        <w:t>.2008 р.) він міцно утримувався</w:t>
      </w:r>
      <w:r w:rsidR="006A5E1C" w:rsidRPr="007E0AC1">
        <w:rPr>
          <w:spacing w:val="0"/>
          <w:sz w:val="28"/>
          <w:szCs w:val="28"/>
          <w:lang w:val="uk-UA"/>
        </w:rPr>
        <w:t xml:space="preserve"> вище по</w:t>
      </w:r>
      <w:r w:rsidR="00C77905" w:rsidRPr="007E0AC1">
        <w:rPr>
          <w:spacing w:val="0"/>
          <w:sz w:val="28"/>
          <w:szCs w:val="28"/>
          <w:lang w:val="uk-UA"/>
        </w:rPr>
        <w:t>значки у 1000 пунктів та досяг</w:t>
      </w:r>
      <w:r w:rsidR="006A5E1C" w:rsidRPr="007E0AC1">
        <w:rPr>
          <w:spacing w:val="0"/>
          <w:sz w:val="28"/>
          <w:szCs w:val="28"/>
          <w:lang w:val="uk-UA"/>
        </w:rPr>
        <w:t xml:space="preserve"> свого історичного максимуму — 1208,61. З поглибленням світової фінансової кризи у друг</w:t>
      </w:r>
      <w:r w:rsidR="00C77905" w:rsidRPr="007E0AC1">
        <w:rPr>
          <w:spacing w:val="0"/>
          <w:sz w:val="28"/>
          <w:szCs w:val="28"/>
          <w:lang w:val="uk-UA"/>
        </w:rPr>
        <w:t>ому-третьому кварталах 2008 р.</w:t>
      </w:r>
      <w:r w:rsidR="006A5E1C" w:rsidRPr="007E0AC1">
        <w:rPr>
          <w:spacing w:val="0"/>
          <w:sz w:val="28"/>
          <w:szCs w:val="28"/>
          <w:lang w:val="uk-UA"/>
        </w:rPr>
        <w:t>, український фондовий ринок почав втрачати</w:t>
      </w:r>
      <w:r w:rsidR="00C77905" w:rsidRPr="007E0AC1">
        <w:rPr>
          <w:spacing w:val="0"/>
          <w:sz w:val="28"/>
          <w:szCs w:val="28"/>
          <w:lang w:val="uk-UA"/>
        </w:rPr>
        <w:t xml:space="preserve"> лідируючі позиції і закрив</w:t>
      </w:r>
      <w:r w:rsidR="006A5E1C" w:rsidRPr="007E0AC1">
        <w:rPr>
          <w:spacing w:val="0"/>
          <w:sz w:val="28"/>
          <w:szCs w:val="28"/>
          <w:lang w:val="uk-UA"/>
        </w:rPr>
        <w:t xml:space="preserve"> рік на позначці 301,42 б.п. </w:t>
      </w:r>
      <w:r w:rsidR="00DD069D" w:rsidRPr="007E0AC1">
        <w:rPr>
          <w:spacing w:val="0"/>
          <w:sz w:val="28"/>
          <w:szCs w:val="28"/>
          <w:lang w:val="uk-UA"/>
        </w:rPr>
        <w:t>У 2009 р. продовжилося подальше падіння індексу ПФТС до рівня 205,51 б.п. станом на 02.03.2009 р. (рис.1)</w:t>
      </w:r>
      <w:r w:rsidR="00C77905" w:rsidRPr="007E0AC1">
        <w:rPr>
          <w:spacing w:val="0"/>
          <w:sz w:val="28"/>
          <w:szCs w:val="28"/>
          <w:lang w:val="uk-UA"/>
        </w:rPr>
        <w:t>.</w:t>
      </w:r>
    </w:p>
    <w:p w:rsidR="00DD069D" w:rsidRPr="007E0AC1" w:rsidRDefault="009A05D1" w:rsidP="00DD069D">
      <w:pPr>
        <w:jc w:val="center"/>
        <w:rPr>
          <w:spacing w:val="0"/>
          <w:sz w:val="28"/>
          <w:szCs w:val="28"/>
          <w:lang w:val="uk-UA"/>
        </w:rPr>
      </w:pPr>
      <w:r>
        <w:rPr>
          <w:noProof/>
          <w:spacing w:val="0"/>
          <w:sz w:val="28"/>
          <w:szCs w:val="28"/>
        </w:rPr>
        <w:drawing>
          <wp:inline distT="0" distB="0" distL="0" distR="0">
            <wp:extent cx="6347460" cy="3299460"/>
            <wp:effectExtent l="0" t="0" r="0" b="0"/>
            <wp:docPr id="1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="00DD069D" w:rsidRPr="007E0AC1">
        <w:rPr>
          <w:spacing w:val="0"/>
          <w:sz w:val="28"/>
          <w:szCs w:val="28"/>
          <w:lang w:val="uk-UA"/>
        </w:rPr>
        <w:t>Рис. 1. Динаміка індексу ПФТС у 2009 р. (побудовано за даними [</w:t>
      </w:r>
      <w:r w:rsidR="0007439F" w:rsidRPr="007E0AC1">
        <w:rPr>
          <w:spacing w:val="0"/>
          <w:sz w:val="28"/>
          <w:szCs w:val="28"/>
          <w:lang w:val="uk-UA"/>
        </w:rPr>
        <w:t>11</w:t>
      </w:r>
      <w:r w:rsidR="00DD069D" w:rsidRPr="007E0AC1">
        <w:rPr>
          <w:spacing w:val="0"/>
          <w:sz w:val="28"/>
          <w:szCs w:val="28"/>
          <w:lang w:val="uk-UA"/>
        </w:rPr>
        <w:t xml:space="preserve">]) </w:t>
      </w:r>
    </w:p>
    <w:p w:rsidR="006D7189" w:rsidRDefault="006D7189" w:rsidP="00C75EEA">
      <w:pPr>
        <w:ind w:firstLine="720"/>
        <w:jc w:val="both"/>
        <w:rPr>
          <w:spacing w:val="0"/>
          <w:sz w:val="28"/>
          <w:szCs w:val="28"/>
          <w:lang w:val="uk-UA"/>
        </w:rPr>
      </w:pPr>
    </w:p>
    <w:p w:rsidR="004D3894" w:rsidRPr="004D3894" w:rsidRDefault="004818B0" w:rsidP="004D3894">
      <w:pPr>
        <w:shd w:val="clear" w:color="auto" w:fill="FFFFFF"/>
        <w:jc w:val="both"/>
        <w:rPr>
          <w:spacing w:val="0"/>
          <w:sz w:val="28"/>
          <w:szCs w:val="28"/>
          <w:lang w:val="uk-UA"/>
        </w:rPr>
      </w:pPr>
      <w:r w:rsidRPr="004D3894">
        <w:rPr>
          <w:spacing w:val="0"/>
          <w:sz w:val="28"/>
          <w:szCs w:val="28"/>
          <w:lang w:val="uk-UA"/>
        </w:rPr>
        <w:tab/>
        <w:t>Найбільшого зниження зазнали акції емітентів металургійної, електроенергетичної та хімічної галузей.</w:t>
      </w:r>
      <w:r w:rsidR="004D3894" w:rsidRPr="004D3894">
        <w:rPr>
          <w:spacing w:val="0"/>
          <w:sz w:val="28"/>
          <w:szCs w:val="28"/>
          <w:lang w:val="uk-UA"/>
        </w:rPr>
        <w:t xml:space="preserve"> Скорочення попиту на світових товарних ринках фактично залишило за бортом українських виробників, собівартість продукції яких </w:t>
      </w:r>
      <w:r w:rsidR="004D3894">
        <w:rPr>
          <w:spacing w:val="0"/>
          <w:sz w:val="28"/>
          <w:szCs w:val="28"/>
          <w:lang w:val="uk-UA"/>
        </w:rPr>
        <w:t>є високою</w:t>
      </w:r>
      <w:r w:rsidR="004D3894" w:rsidRPr="004D3894">
        <w:rPr>
          <w:spacing w:val="0"/>
          <w:sz w:val="28"/>
          <w:szCs w:val="28"/>
          <w:lang w:val="uk-UA"/>
        </w:rPr>
        <w:t xml:space="preserve"> при її низькій якості.</w:t>
      </w:r>
    </w:p>
    <w:p w:rsidR="006E243B" w:rsidRPr="007E0AC1" w:rsidRDefault="006E243B" w:rsidP="006E243B">
      <w:pPr>
        <w:shd w:val="clear" w:color="auto" w:fill="FFFFFF"/>
        <w:autoSpaceDE w:val="0"/>
        <w:autoSpaceDN w:val="0"/>
        <w:adjustRightInd w:val="0"/>
        <w:rPr>
          <w:spacing w:val="0"/>
          <w:sz w:val="28"/>
          <w:szCs w:val="28"/>
          <w:lang w:val="uk-UA"/>
        </w:rPr>
      </w:pPr>
      <w:r w:rsidRPr="007E0AC1">
        <w:rPr>
          <w:spacing w:val="0"/>
          <w:sz w:val="28"/>
          <w:szCs w:val="28"/>
          <w:lang w:val="uk-UA"/>
        </w:rPr>
        <w:tab/>
        <w:t>Динаміку інших індикаторів ф</w:t>
      </w:r>
      <w:r w:rsidR="002F04B4">
        <w:rPr>
          <w:spacing w:val="0"/>
          <w:sz w:val="28"/>
          <w:szCs w:val="28"/>
          <w:lang w:val="uk-UA"/>
        </w:rPr>
        <w:t>ондового ринку наведено на рис.2</w:t>
      </w:r>
      <w:r w:rsidRPr="007E0AC1">
        <w:rPr>
          <w:spacing w:val="0"/>
          <w:sz w:val="28"/>
          <w:szCs w:val="28"/>
          <w:lang w:val="uk-UA"/>
        </w:rPr>
        <w:t xml:space="preserve">. </w:t>
      </w:r>
    </w:p>
    <w:p w:rsidR="00FE2D3F" w:rsidRPr="007E0AC1" w:rsidRDefault="00FE2D3F" w:rsidP="00C75EEA">
      <w:pPr>
        <w:ind w:firstLine="720"/>
        <w:jc w:val="both"/>
        <w:rPr>
          <w:spacing w:val="0"/>
          <w:sz w:val="28"/>
          <w:szCs w:val="28"/>
          <w:lang w:val="uk-UA"/>
        </w:rPr>
      </w:pPr>
    </w:p>
    <w:p w:rsidR="002A70E9" w:rsidRPr="007E0AC1" w:rsidRDefault="009A05D1" w:rsidP="006E243B">
      <w:pPr>
        <w:jc w:val="center"/>
        <w:rPr>
          <w:spacing w:val="0"/>
          <w:sz w:val="28"/>
          <w:szCs w:val="28"/>
          <w:lang w:val="uk-UA"/>
        </w:rPr>
      </w:pPr>
      <w:r>
        <w:rPr>
          <w:noProof/>
          <w:spacing w:val="0"/>
          <w:sz w:val="28"/>
          <w:szCs w:val="28"/>
        </w:rPr>
        <w:lastRenderedPageBreak/>
        <w:drawing>
          <wp:inline distT="0" distB="0" distL="0" distR="0">
            <wp:extent cx="6553200" cy="3162300"/>
            <wp:effectExtent l="0" t="0" r="0" b="0"/>
            <wp:docPr id="2" name="Объект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="002F04B4">
        <w:rPr>
          <w:spacing w:val="0"/>
          <w:sz w:val="28"/>
          <w:szCs w:val="28"/>
          <w:lang w:val="uk-UA"/>
        </w:rPr>
        <w:t>Рис.2</w:t>
      </w:r>
      <w:r w:rsidR="006E243B" w:rsidRPr="007E0AC1">
        <w:rPr>
          <w:spacing w:val="0"/>
          <w:sz w:val="28"/>
          <w:szCs w:val="28"/>
          <w:lang w:val="uk-UA"/>
        </w:rPr>
        <w:t xml:space="preserve">. Динаміка індикаторів фондового ринку України у 2008 р. </w:t>
      </w:r>
      <w:r w:rsidR="004D3894">
        <w:rPr>
          <w:spacing w:val="0"/>
          <w:sz w:val="28"/>
          <w:szCs w:val="28"/>
          <w:lang w:val="uk-UA"/>
        </w:rPr>
        <w:t xml:space="preserve"> </w:t>
      </w:r>
      <w:r w:rsidR="006E243B" w:rsidRPr="007E0AC1">
        <w:rPr>
          <w:spacing w:val="0"/>
          <w:sz w:val="28"/>
          <w:szCs w:val="28"/>
          <w:lang w:val="uk-UA"/>
        </w:rPr>
        <w:t>(побудовано за даними [</w:t>
      </w:r>
      <w:r w:rsidR="0007439F" w:rsidRPr="007E0AC1">
        <w:rPr>
          <w:spacing w:val="0"/>
          <w:sz w:val="28"/>
          <w:szCs w:val="28"/>
          <w:lang w:val="uk-UA"/>
        </w:rPr>
        <w:t>12</w:t>
      </w:r>
      <w:r w:rsidR="006E243B" w:rsidRPr="007E0AC1">
        <w:rPr>
          <w:spacing w:val="0"/>
          <w:sz w:val="28"/>
          <w:szCs w:val="28"/>
          <w:lang w:val="uk-UA"/>
        </w:rPr>
        <w:t>])</w:t>
      </w:r>
    </w:p>
    <w:p w:rsidR="004818B0" w:rsidRDefault="006E243B" w:rsidP="004818B0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pacing w:val="0"/>
          <w:sz w:val="28"/>
          <w:szCs w:val="28"/>
          <w:lang w:val="uk-UA"/>
        </w:rPr>
      </w:pPr>
      <w:r w:rsidRPr="007E0AC1">
        <w:rPr>
          <w:bCs/>
          <w:iCs/>
          <w:spacing w:val="0"/>
          <w:sz w:val="28"/>
          <w:szCs w:val="28"/>
          <w:lang w:val="uk-UA"/>
        </w:rPr>
        <w:tab/>
      </w:r>
      <w:r w:rsidR="004818B0" w:rsidRPr="006D7189">
        <w:rPr>
          <w:spacing w:val="0"/>
          <w:sz w:val="28"/>
          <w:szCs w:val="28"/>
          <w:lang w:val="uk-UA"/>
        </w:rPr>
        <w:t>За класифікацією Standard</w:t>
      </w:r>
      <w:r w:rsidR="004818B0" w:rsidRPr="007E0AC1">
        <w:rPr>
          <w:spacing w:val="0"/>
          <w:sz w:val="28"/>
          <w:szCs w:val="28"/>
          <w:lang w:val="uk-UA"/>
        </w:rPr>
        <w:t xml:space="preserve"> </w:t>
      </w:r>
      <w:r w:rsidR="004818B0" w:rsidRPr="007E0AC1">
        <w:rPr>
          <w:iCs/>
          <w:spacing w:val="0"/>
          <w:sz w:val="28"/>
          <w:szCs w:val="28"/>
          <w:lang w:val="uk-UA"/>
        </w:rPr>
        <w:t>&amp;</w:t>
      </w:r>
      <w:r w:rsidR="004818B0" w:rsidRPr="007E0AC1">
        <w:rPr>
          <w:i/>
          <w:iCs/>
          <w:spacing w:val="0"/>
          <w:sz w:val="28"/>
          <w:szCs w:val="28"/>
          <w:lang w:val="uk-UA"/>
        </w:rPr>
        <w:t xml:space="preserve"> </w:t>
      </w:r>
      <w:r w:rsidR="004818B0" w:rsidRPr="007E0AC1">
        <w:rPr>
          <w:spacing w:val="0"/>
          <w:sz w:val="28"/>
          <w:szCs w:val="28"/>
          <w:lang w:val="uk-UA"/>
        </w:rPr>
        <w:t>Poor's Україну віднесено до групи Frontier</w:t>
      </w:r>
      <w:r w:rsidR="004818B0" w:rsidRPr="007E0AC1">
        <w:rPr>
          <w:spacing w:val="0"/>
          <w:sz w:val="28"/>
          <w:szCs w:val="28"/>
          <w:vertAlign w:val="superscript"/>
          <w:lang w:val="uk-UA"/>
        </w:rPr>
        <w:t xml:space="preserve"> </w:t>
      </w:r>
      <w:r w:rsidR="004818B0" w:rsidRPr="007E0AC1">
        <w:rPr>
          <w:spacing w:val="0"/>
          <w:sz w:val="28"/>
          <w:szCs w:val="28"/>
          <w:lang w:val="uk-UA"/>
        </w:rPr>
        <w:t>(граничний ринок), в яку входять ще 22 країни (Ру</w:t>
      </w:r>
      <w:r w:rsidR="004818B0" w:rsidRPr="007E0AC1">
        <w:rPr>
          <w:spacing w:val="0"/>
          <w:sz w:val="28"/>
          <w:szCs w:val="28"/>
          <w:lang w:val="uk-UA"/>
        </w:rPr>
        <w:softHyphen/>
        <w:t>мунія, Словенія, Словаччина, Хорватія, Болгарія, Естонія, Латвія, Литва та інші). Оцінюючи стан розвитку ринків групи Frontier, Standard &amp; Poor's розраховує для фондового ринку кожної країни цілу низку показ</w:t>
      </w:r>
      <w:r w:rsidR="004818B0" w:rsidRPr="007E0AC1">
        <w:rPr>
          <w:spacing w:val="0"/>
          <w:sz w:val="28"/>
          <w:szCs w:val="28"/>
          <w:lang w:val="uk-UA"/>
        </w:rPr>
        <w:softHyphen/>
        <w:t>ників (ринкова капіталізація, коефіцієнти Р/Е та P/BV тощо) та індекс S&amp;P/IFCG. Всі показники, які репрезентують стан фондово</w:t>
      </w:r>
      <w:r w:rsidR="004818B0" w:rsidRPr="007E0AC1">
        <w:rPr>
          <w:spacing w:val="0"/>
          <w:sz w:val="28"/>
          <w:szCs w:val="28"/>
          <w:lang w:val="uk-UA"/>
        </w:rPr>
        <w:softHyphen/>
        <w:t>го ринку України, Standard &amp; Poor's розраховує на підставі даних ПФТС.</w:t>
      </w:r>
    </w:p>
    <w:p w:rsidR="002A0079" w:rsidRPr="004818B0" w:rsidRDefault="004818B0" w:rsidP="004818B0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pacing w:val="0"/>
          <w:sz w:val="28"/>
          <w:szCs w:val="28"/>
          <w:lang w:val="uk-UA"/>
        </w:rPr>
      </w:pPr>
      <w:r>
        <w:rPr>
          <w:rFonts w:ascii="TimesNewRomanPSMT" w:hAnsi="TimesNewRomanPSMT" w:cs="TimesNewRomanPSMT"/>
          <w:spacing w:val="0"/>
          <w:sz w:val="28"/>
          <w:szCs w:val="28"/>
          <w:lang w:val="uk-UA"/>
        </w:rPr>
        <w:tab/>
      </w:r>
      <w:r w:rsidR="00FE2D3F" w:rsidRPr="007E0AC1">
        <w:rPr>
          <w:bCs/>
          <w:iCs/>
          <w:spacing w:val="0"/>
          <w:sz w:val="28"/>
          <w:szCs w:val="28"/>
          <w:lang w:val="uk-UA"/>
        </w:rPr>
        <w:t xml:space="preserve">Індекс UTX </w:t>
      </w:r>
      <w:r w:rsidR="00FE2D3F" w:rsidRPr="007E0AC1">
        <w:rPr>
          <w:spacing w:val="0"/>
          <w:sz w:val="28"/>
          <w:szCs w:val="28"/>
          <w:lang w:val="uk-UA"/>
        </w:rPr>
        <w:t xml:space="preserve">– Ukrainian Traded Index, який розраховується </w:t>
      </w:r>
      <w:r w:rsidR="0062514D" w:rsidRPr="007E0AC1">
        <w:rPr>
          <w:iCs/>
          <w:spacing w:val="0"/>
          <w:sz w:val="28"/>
          <w:szCs w:val="28"/>
          <w:lang w:val="uk-UA"/>
        </w:rPr>
        <w:t xml:space="preserve">Віденською фондовою </w:t>
      </w:r>
      <w:r w:rsidR="00FE2D3F" w:rsidRPr="007E0AC1">
        <w:rPr>
          <w:iCs/>
          <w:spacing w:val="0"/>
          <w:sz w:val="28"/>
          <w:szCs w:val="28"/>
          <w:lang w:val="uk-UA"/>
        </w:rPr>
        <w:t xml:space="preserve">біржею </w:t>
      </w:r>
      <w:r w:rsidR="00FE2D3F" w:rsidRPr="007E0AC1">
        <w:rPr>
          <w:spacing w:val="0"/>
          <w:sz w:val="28"/>
          <w:szCs w:val="28"/>
          <w:lang w:val="uk-UA"/>
        </w:rPr>
        <w:t xml:space="preserve">для України за даними ПФТС, </w:t>
      </w:r>
      <w:r w:rsidR="0062514D" w:rsidRPr="007E0AC1">
        <w:rPr>
          <w:spacing w:val="0"/>
          <w:sz w:val="28"/>
          <w:szCs w:val="28"/>
          <w:lang w:val="uk-UA"/>
        </w:rPr>
        <w:t>знизився протягом 2008 р. у гривні</w:t>
      </w:r>
      <w:r w:rsidR="00FE2D3F" w:rsidRPr="007E0AC1">
        <w:rPr>
          <w:spacing w:val="0"/>
          <w:sz w:val="28"/>
          <w:szCs w:val="28"/>
          <w:lang w:val="uk-UA"/>
        </w:rPr>
        <w:t xml:space="preserve"> </w:t>
      </w:r>
      <w:r w:rsidR="0062514D" w:rsidRPr="007E0AC1">
        <w:rPr>
          <w:spacing w:val="0"/>
          <w:sz w:val="28"/>
          <w:szCs w:val="28"/>
          <w:lang w:val="uk-UA"/>
        </w:rPr>
        <w:t>-</w:t>
      </w:r>
      <w:r w:rsidR="00FE2D3F" w:rsidRPr="007E0AC1">
        <w:rPr>
          <w:spacing w:val="0"/>
          <w:sz w:val="28"/>
          <w:szCs w:val="28"/>
          <w:lang w:val="uk-UA"/>
        </w:rPr>
        <w:t xml:space="preserve"> на</w:t>
      </w:r>
      <w:r w:rsidR="0062514D" w:rsidRPr="007E0AC1">
        <w:rPr>
          <w:iCs/>
          <w:spacing w:val="0"/>
          <w:sz w:val="28"/>
          <w:szCs w:val="28"/>
          <w:lang w:val="uk-UA"/>
        </w:rPr>
        <w:t xml:space="preserve"> </w:t>
      </w:r>
      <w:r w:rsidR="00FE2D3F" w:rsidRPr="007E0AC1">
        <w:rPr>
          <w:bCs/>
          <w:spacing w:val="0"/>
          <w:sz w:val="28"/>
          <w:szCs w:val="28"/>
          <w:lang w:val="uk-UA"/>
        </w:rPr>
        <w:t>72,61%</w:t>
      </w:r>
      <w:r w:rsidR="0062514D" w:rsidRPr="007E0AC1">
        <w:rPr>
          <w:bCs/>
          <w:spacing w:val="0"/>
          <w:sz w:val="28"/>
          <w:szCs w:val="28"/>
          <w:lang w:val="uk-UA"/>
        </w:rPr>
        <w:t>,</w:t>
      </w:r>
      <w:r w:rsidR="00FE2D3F" w:rsidRPr="007E0AC1">
        <w:rPr>
          <w:bCs/>
          <w:spacing w:val="0"/>
          <w:sz w:val="28"/>
          <w:szCs w:val="28"/>
          <w:lang w:val="uk-UA"/>
        </w:rPr>
        <w:t xml:space="preserve"> </w:t>
      </w:r>
      <w:r w:rsidR="0062514D" w:rsidRPr="007E0AC1">
        <w:rPr>
          <w:spacing w:val="0"/>
          <w:sz w:val="28"/>
          <w:szCs w:val="28"/>
          <w:lang w:val="uk-UA"/>
        </w:rPr>
        <w:t xml:space="preserve"> у доларах США  - </w:t>
      </w:r>
      <w:r w:rsidR="00FE2D3F" w:rsidRPr="007E0AC1">
        <w:rPr>
          <w:spacing w:val="0"/>
          <w:sz w:val="28"/>
          <w:szCs w:val="28"/>
          <w:lang w:val="uk-UA"/>
        </w:rPr>
        <w:t xml:space="preserve">на </w:t>
      </w:r>
      <w:r w:rsidR="00FE2D3F" w:rsidRPr="007E0AC1">
        <w:rPr>
          <w:bCs/>
          <w:spacing w:val="0"/>
          <w:sz w:val="28"/>
          <w:szCs w:val="28"/>
          <w:lang w:val="uk-UA"/>
        </w:rPr>
        <w:t>81,98%</w:t>
      </w:r>
      <w:r w:rsidR="00FE2D3F" w:rsidRPr="007E0AC1">
        <w:rPr>
          <w:spacing w:val="0"/>
          <w:sz w:val="28"/>
          <w:szCs w:val="28"/>
          <w:lang w:val="uk-UA"/>
        </w:rPr>
        <w:t>.</w:t>
      </w:r>
      <w:r w:rsidR="0062514D" w:rsidRPr="007E0AC1">
        <w:rPr>
          <w:iCs/>
          <w:spacing w:val="0"/>
          <w:sz w:val="28"/>
          <w:szCs w:val="28"/>
          <w:lang w:val="uk-UA"/>
        </w:rPr>
        <w:t xml:space="preserve"> </w:t>
      </w:r>
      <w:r w:rsidR="0062514D" w:rsidRPr="007E0AC1">
        <w:rPr>
          <w:spacing w:val="0"/>
          <w:sz w:val="28"/>
          <w:szCs w:val="28"/>
          <w:lang w:val="uk-UA"/>
        </w:rPr>
        <w:t>І</w:t>
      </w:r>
      <w:r w:rsidR="00FE2D3F" w:rsidRPr="007E0AC1">
        <w:rPr>
          <w:bCs/>
          <w:iCs/>
          <w:spacing w:val="0"/>
          <w:sz w:val="28"/>
          <w:szCs w:val="28"/>
          <w:lang w:val="uk-UA"/>
        </w:rPr>
        <w:t xml:space="preserve">ндекс MSCI </w:t>
      </w:r>
      <w:r w:rsidR="00FE2D3F" w:rsidRPr="007E0AC1">
        <w:rPr>
          <w:spacing w:val="0"/>
          <w:sz w:val="28"/>
          <w:szCs w:val="28"/>
          <w:lang w:val="uk-UA"/>
        </w:rPr>
        <w:t xml:space="preserve">Frontier Markets USD, який розраховується аналітиками </w:t>
      </w:r>
      <w:r w:rsidR="00FE2D3F" w:rsidRPr="007E0AC1">
        <w:rPr>
          <w:iCs/>
          <w:spacing w:val="0"/>
          <w:sz w:val="28"/>
          <w:szCs w:val="28"/>
          <w:lang w:val="uk-UA"/>
        </w:rPr>
        <w:t>Morgan Stanley</w:t>
      </w:r>
      <w:r w:rsidR="0062514D" w:rsidRPr="007E0AC1">
        <w:rPr>
          <w:iCs/>
          <w:spacing w:val="0"/>
          <w:sz w:val="28"/>
          <w:szCs w:val="28"/>
          <w:lang w:val="uk-UA"/>
        </w:rPr>
        <w:t xml:space="preserve"> </w:t>
      </w:r>
      <w:r w:rsidR="00FE2D3F" w:rsidRPr="007E0AC1">
        <w:rPr>
          <w:spacing w:val="0"/>
          <w:sz w:val="28"/>
          <w:szCs w:val="28"/>
          <w:lang w:val="uk-UA"/>
        </w:rPr>
        <w:t>для групи Frontier</w:t>
      </w:r>
      <w:r w:rsidR="00C77905" w:rsidRPr="007E0AC1">
        <w:rPr>
          <w:spacing w:val="0"/>
          <w:sz w:val="28"/>
          <w:szCs w:val="28"/>
          <w:lang w:val="uk-UA"/>
        </w:rPr>
        <w:t>,</w:t>
      </w:r>
      <w:r w:rsidR="00FE2D3F" w:rsidRPr="007E0AC1">
        <w:rPr>
          <w:spacing w:val="0"/>
          <w:sz w:val="28"/>
          <w:szCs w:val="28"/>
          <w:lang w:val="uk-UA"/>
        </w:rPr>
        <w:t xml:space="preserve"> </w:t>
      </w:r>
      <w:r w:rsidR="0062514D" w:rsidRPr="007E0AC1">
        <w:rPr>
          <w:spacing w:val="0"/>
          <w:sz w:val="28"/>
          <w:szCs w:val="28"/>
          <w:lang w:val="uk-UA"/>
        </w:rPr>
        <w:t>знизився</w:t>
      </w:r>
      <w:r w:rsidR="00FE2D3F" w:rsidRPr="007E0AC1">
        <w:rPr>
          <w:spacing w:val="0"/>
          <w:sz w:val="28"/>
          <w:szCs w:val="28"/>
          <w:lang w:val="uk-UA"/>
        </w:rPr>
        <w:t xml:space="preserve"> на </w:t>
      </w:r>
      <w:r w:rsidR="00FE2D3F" w:rsidRPr="007E0AC1">
        <w:rPr>
          <w:bCs/>
          <w:spacing w:val="0"/>
          <w:sz w:val="28"/>
          <w:szCs w:val="28"/>
          <w:lang w:val="uk-UA"/>
        </w:rPr>
        <w:t>55,41%</w:t>
      </w:r>
      <w:r w:rsidR="0062514D" w:rsidRPr="007E0AC1">
        <w:rPr>
          <w:spacing w:val="0"/>
          <w:sz w:val="28"/>
          <w:szCs w:val="28"/>
          <w:lang w:val="uk-UA"/>
        </w:rPr>
        <w:t>,</w:t>
      </w:r>
      <w:r w:rsidR="00FE2D3F" w:rsidRPr="007E0AC1">
        <w:rPr>
          <w:spacing w:val="0"/>
          <w:sz w:val="28"/>
          <w:szCs w:val="28"/>
          <w:lang w:val="uk-UA"/>
        </w:rPr>
        <w:t xml:space="preserve"> </w:t>
      </w:r>
      <w:r w:rsidR="0062514D" w:rsidRPr="007E0AC1">
        <w:rPr>
          <w:spacing w:val="0"/>
          <w:sz w:val="28"/>
          <w:szCs w:val="28"/>
          <w:lang w:val="uk-UA"/>
        </w:rPr>
        <w:t>і</w:t>
      </w:r>
      <w:r w:rsidR="00FE2D3F" w:rsidRPr="007E0AC1">
        <w:rPr>
          <w:spacing w:val="0"/>
          <w:sz w:val="28"/>
          <w:szCs w:val="28"/>
          <w:lang w:val="uk-UA"/>
        </w:rPr>
        <w:t>ндекс</w:t>
      </w:r>
      <w:r w:rsidR="0062514D" w:rsidRPr="007E0AC1">
        <w:rPr>
          <w:iCs/>
          <w:spacing w:val="0"/>
          <w:sz w:val="28"/>
          <w:szCs w:val="28"/>
          <w:lang w:val="uk-UA"/>
        </w:rPr>
        <w:t xml:space="preserve"> </w:t>
      </w:r>
      <w:r w:rsidR="00FE2D3F" w:rsidRPr="007E0AC1">
        <w:rPr>
          <w:spacing w:val="0"/>
          <w:sz w:val="28"/>
          <w:szCs w:val="28"/>
          <w:lang w:val="uk-UA"/>
        </w:rPr>
        <w:t>MSCI Ukraine USD</w:t>
      </w:r>
      <w:r w:rsidR="0062514D" w:rsidRPr="007E0AC1">
        <w:rPr>
          <w:spacing w:val="0"/>
          <w:sz w:val="28"/>
          <w:szCs w:val="28"/>
          <w:lang w:val="uk-UA"/>
        </w:rPr>
        <w:t xml:space="preserve"> - </w:t>
      </w:r>
      <w:r w:rsidR="00FE2D3F" w:rsidRPr="007E0AC1">
        <w:rPr>
          <w:spacing w:val="0"/>
          <w:sz w:val="28"/>
          <w:szCs w:val="28"/>
          <w:lang w:val="uk-UA"/>
        </w:rPr>
        <w:t xml:space="preserve">на </w:t>
      </w:r>
      <w:r w:rsidR="00FE2D3F" w:rsidRPr="007E0AC1">
        <w:rPr>
          <w:bCs/>
          <w:spacing w:val="0"/>
          <w:sz w:val="28"/>
          <w:szCs w:val="28"/>
          <w:lang w:val="uk-UA"/>
        </w:rPr>
        <w:t xml:space="preserve">83,87% </w:t>
      </w:r>
      <w:r w:rsidR="00FE2D3F" w:rsidRPr="007E0AC1">
        <w:rPr>
          <w:spacing w:val="0"/>
          <w:sz w:val="28"/>
          <w:szCs w:val="28"/>
          <w:lang w:val="uk-UA"/>
        </w:rPr>
        <w:t>.</w:t>
      </w:r>
      <w:r w:rsidR="0062514D" w:rsidRPr="007E0AC1">
        <w:rPr>
          <w:spacing w:val="0"/>
          <w:sz w:val="28"/>
          <w:szCs w:val="28"/>
          <w:lang w:val="uk-UA"/>
        </w:rPr>
        <w:t xml:space="preserve"> </w:t>
      </w:r>
      <w:r w:rsidR="00FE2D3F" w:rsidRPr="007E0AC1">
        <w:rPr>
          <w:bCs/>
          <w:iCs/>
          <w:spacing w:val="0"/>
          <w:sz w:val="28"/>
          <w:szCs w:val="28"/>
          <w:lang w:val="uk-UA"/>
        </w:rPr>
        <w:t xml:space="preserve">Індекс S&amp;P Frontier Composite </w:t>
      </w:r>
      <w:r w:rsidR="00FE2D3F" w:rsidRPr="007E0AC1">
        <w:rPr>
          <w:spacing w:val="0"/>
          <w:sz w:val="28"/>
          <w:szCs w:val="28"/>
          <w:lang w:val="uk-UA"/>
        </w:rPr>
        <w:t>USD, який розраховується рейтинговою агенцією</w:t>
      </w:r>
      <w:r w:rsidR="0062514D" w:rsidRPr="007E0AC1">
        <w:rPr>
          <w:spacing w:val="0"/>
          <w:sz w:val="28"/>
          <w:szCs w:val="28"/>
          <w:lang w:val="uk-UA"/>
        </w:rPr>
        <w:t xml:space="preserve"> </w:t>
      </w:r>
      <w:r w:rsidR="00FE2D3F" w:rsidRPr="007E0AC1">
        <w:rPr>
          <w:iCs/>
          <w:spacing w:val="0"/>
          <w:sz w:val="28"/>
          <w:szCs w:val="28"/>
          <w:lang w:val="uk-UA"/>
        </w:rPr>
        <w:t xml:space="preserve">Standard &amp; Poor’s </w:t>
      </w:r>
      <w:r w:rsidR="0062514D" w:rsidRPr="007E0AC1">
        <w:rPr>
          <w:spacing w:val="0"/>
          <w:sz w:val="28"/>
          <w:szCs w:val="28"/>
          <w:lang w:val="uk-UA"/>
        </w:rPr>
        <w:t xml:space="preserve">для групи Frontier знизився </w:t>
      </w:r>
      <w:r w:rsidR="00FE2D3F" w:rsidRPr="007E0AC1">
        <w:rPr>
          <w:spacing w:val="0"/>
          <w:sz w:val="28"/>
          <w:szCs w:val="28"/>
          <w:lang w:val="uk-UA"/>
        </w:rPr>
        <w:t xml:space="preserve"> на </w:t>
      </w:r>
      <w:r w:rsidR="00FE2D3F" w:rsidRPr="007E0AC1">
        <w:rPr>
          <w:bCs/>
          <w:spacing w:val="0"/>
          <w:sz w:val="28"/>
          <w:szCs w:val="28"/>
          <w:lang w:val="uk-UA"/>
        </w:rPr>
        <w:t>55,88%</w:t>
      </w:r>
      <w:r w:rsidR="0062514D" w:rsidRPr="007E0AC1">
        <w:rPr>
          <w:spacing w:val="0"/>
          <w:sz w:val="28"/>
          <w:szCs w:val="28"/>
          <w:lang w:val="uk-UA"/>
        </w:rPr>
        <w:t>, а і</w:t>
      </w:r>
      <w:r w:rsidR="00FE2D3F" w:rsidRPr="007E0AC1">
        <w:rPr>
          <w:spacing w:val="0"/>
          <w:sz w:val="28"/>
          <w:szCs w:val="28"/>
          <w:lang w:val="uk-UA"/>
        </w:rPr>
        <w:t>ндекс</w:t>
      </w:r>
      <w:r w:rsidR="0062514D" w:rsidRPr="007E0AC1">
        <w:rPr>
          <w:spacing w:val="0"/>
          <w:sz w:val="28"/>
          <w:szCs w:val="28"/>
          <w:lang w:val="uk-UA"/>
        </w:rPr>
        <w:t xml:space="preserve"> </w:t>
      </w:r>
      <w:r w:rsidR="00FE2D3F" w:rsidRPr="007E0AC1">
        <w:rPr>
          <w:spacing w:val="0"/>
          <w:sz w:val="28"/>
          <w:szCs w:val="28"/>
          <w:lang w:val="uk-UA"/>
        </w:rPr>
        <w:t>S&amp;P Frontier – Ukraine USD</w:t>
      </w:r>
      <w:r w:rsidR="0062514D" w:rsidRPr="007E0AC1">
        <w:rPr>
          <w:spacing w:val="0"/>
          <w:sz w:val="28"/>
          <w:szCs w:val="28"/>
          <w:lang w:val="uk-UA"/>
        </w:rPr>
        <w:t xml:space="preserve"> -</w:t>
      </w:r>
      <w:r w:rsidR="00FE2D3F" w:rsidRPr="007E0AC1">
        <w:rPr>
          <w:spacing w:val="0"/>
          <w:sz w:val="28"/>
          <w:szCs w:val="28"/>
          <w:lang w:val="uk-UA"/>
        </w:rPr>
        <w:t xml:space="preserve"> на </w:t>
      </w:r>
      <w:r w:rsidR="00FE2D3F" w:rsidRPr="007E0AC1">
        <w:rPr>
          <w:bCs/>
          <w:spacing w:val="0"/>
          <w:sz w:val="28"/>
          <w:szCs w:val="28"/>
          <w:lang w:val="uk-UA"/>
        </w:rPr>
        <w:t>82,19%</w:t>
      </w:r>
      <w:r w:rsidR="00FE2D3F" w:rsidRPr="007E0AC1">
        <w:rPr>
          <w:spacing w:val="0"/>
          <w:sz w:val="28"/>
          <w:szCs w:val="28"/>
          <w:lang w:val="uk-UA"/>
        </w:rPr>
        <w:t>.</w:t>
      </w:r>
      <w:r w:rsidR="00C57517" w:rsidRPr="007E0AC1">
        <w:rPr>
          <w:spacing w:val="0"/>
          <w:sz w:val="28"/>
          <w:szCs w:val="28"/>
          <w:lang w:val="uk-UA"/>
        </w:rPr>
        <w:t xml:space="preserve"> </w:t>
      </w:r>
      <w:r w:rsidR="002A0079" w:rsidRPr="007E0AC1">
        <w:rPr>
          <w:spacing w:val="0"/>
          <w:sz w:val="28"/>
          <w:szCs w:val="28"/>
          <w:lang w:val="uk-UA"/>
        </w:rPr>
        <w:t>Різниця у значеннях українських індексів, розрахунок яких ведеться у доларах США. порівняно з такими, що розраховуються у національній валюті, полягає у її знеціненні по відношенню до світових резервних валют у четвертому кварталі 2008 р.</w:t>
      </w:r>
    </w:p>
    <w:p w:rsidR="00826E31" w:rsidRPr="007E0AC1" w:rsidRDefault="002A0079" w:rsidP="002A0079">
      <w:pPr>
        <w:shd w:val="clear" w:color="auto" w:fill="FFFFFF"/>
        <w:jc w:val="both"/>
        <w:rPr>
          <w:spacing w:val="0"/>
          <w:lang w:val="uk-UA"/>
        </w:rPr>
      </w:pPr>
      <w:r w:rsidRPr="007E0AC1">
        <w:rPr>
          <w:spacing w:val="0"/>
          <w:lang w:val="uk-UA"/>
        </w:rPr>
        <w:tab/>
      </w:r>
      <w:r w:rsidR="00C57517" w:rsidRPr="007E0AC1">
        <w:rPr>
          <w:spacing w:val="0"/>
          <w:sz w:val="28"/>
          <w:szCs w:val="28"/>
          <w:lang w:val="uk-UA"/>
        </w:rPr>
        <w:t>За рівнем капіталізації Україна протягом 2006-2007 рр. посідала 1 місце в групі Frontier ($111756 млн.), значно випереджаючи Хор</w:t>
      </w:r>
      <w:r w:rsidR="00C57517" w:rsidRPr="007E0AC1">
        <w:rPr>
          <w:spacing w:val="0"/>
          <w:sz w:val="28"/>
          <w:szCs w:val="28"/>
          <w:lang w:val="uk-UA"/>
        </w:rPr>
        <w:softHyphen/>
        <w:t>ватію ($65977 млн.) та Румунію ($44925 млн.)</w:t>
      </w:r>
      <w:r w:rsidR="00DD1A4C" w:rsidRPr="007E0AC1">
        <w:rPr>
          <w:spacing w:val="0"/>
          <w:sz w:val="28"/>
          <w:szCs w:val="28"/>
          <w:lang w:val="uk-UA"/>
        </w:rPr>
        <w:t xml:space="preserve"> </w:t>
      </w:r>
      <w:r w:rsidR="0007439F" w:rsidRPr="007E0AC1">
        <w:rPr>
          <w:spacing w:val="0"/>
          <w:sz w:val="28"/>
          <w:szCs w:val="28"/>
          <w:lang w:val="uk-UA"/>
        </w:rPr>
        <w:t xml:space="preserve">[13, </w:t>
      </w:r>
      <w:r w:rsidR="00DD1A4C" w:rsidRPr="007E0AC1">
        <w:rPr>
          <w:spacing w:val="0"/>
          <w:sz w:val="28"/>
          <w:szCs w:val="28"/>
          <w:lang w:val="uk-UA"/>
        </w:rPr>
        <w:t>с.11</w:t>
      </w:r>
      <w:r w:rsidR="0007439F" w:rsidRPr="007E0AC1">
        <w:rPr>
          <w:spacing w:val="0"/>
          <w:sz w:val="28"/>
          <w:szCs w:val="28"/>
          <w:lang w:val="uk-UA"/>
        </w:rPr>
        <w:t>]</w:t>
      </w:r>
      <w:r w:rsidR="00C57517" w:rsidRPr="007E0AC1">
        <w:rPr>
          <w:spacing w:val="0"/>
          <w:sz w:val="28"/>
          <w:szCs w:val="28"/>
          <w:lang w:val="uk-UA"/>
        </w:rPr>
        <w:t>.</w:t>
      </w:r>
      <w:r w:rsidR="00C77905" w:rsidRPr="007E0AC1">
        <w:rPr>
          <w:spacing w:val="0"/>
          <w:sz w:val="28"/>
          <w:szCs w:val="28"/>
          <w:lang w:val="uk-UA"/>
        </w:rPr>
        <w:t xml:space="preserve"> Наша країна</w:t>
      </w:r>
      <w:r w:rsidR="00C57517" w:rsidRPr="007E0AC1">
        <w:rPr>
          <w:spacing w:val="0"/>
          <w:sz w:val="28"/>
          <w:szCs w:val="28"/>
          <w:lang w:val="uk-UA"/>
        </w:rPr>
        <w:t xml:space="preserve"> мала найбільший рівень зростання місцевого індексу, але і темпи падіння 2008 р. виявилися ви</w:t>
      </w:r>
      <w:r w:rsidR="00C77905" w:rsidRPr="007E0AC1">
        <w:rPr>
          <w:spacing w:val="0"/>
          <w:sz w:val="28"/>
          <w:szCs w:val="28"/>
          <w:lang w:val="uk-UA"/>
        </w:rPr>
        <w:t>щими порівняно з іншими</w:t>
      </w:r>
      <w:r w:rsidR="00C57517" w:rsidRPr="007E0AC1">
        <w:rPr>
          <w:spacing w:val="0"/>
          <w:sz w:val="28"/>
          <w:szCs w:val="28"/>
          <w:lang w:val="uk-UA"/>
        </w:rPr>
        <w:t xml:space="preserve">. </w:t>
      </w:r>
    </w:p>
    <w:p w:rsidR="00A45132" w:rsidRPr="007E0AC1" w:rsidRDefault="00826E31" w:rsidP="00A45132">
      <w:pPr>
        <w:shd w:val="clear" w:color="auto" w:fill="FFFFFF"/>
        <w:jc w:val="both"/>
        <w:rPr>
          <w:spacing w:val="0"/>
          <w:sz w:val="28"/>
          <w:szCs w:val="28"/>
          <w:lang w:val="uk-UA"/>
        </w:rPr>
      </w:pPr>
      <w:r w:rsidRPr="007E0AC1">
        <w:rPr>
          <w:spacing w:val="0"/>
          <w:sz w:val="28"/>
          <w:szCs w:val="28"/>
          <w:lang w:val="uk-UA"/>
        </w:rPr>
        <w:tab/>
      </w:r>
      <w:r w:rsidR="00E87793" w:rsidRPr="007E0AC1">
        <w:rPr>
          <w:spacing w:val="0"/>
          <w:sz w:val="28"/>
          <w:szCs w:val="28"/>
          <w:lang w:val="uk-UA"/>
        </w:rPr>
        <w:t xml:space="preserve">Індекс ПФТС — ціновий індекс, зважений за обсягом емісії (free float), що реально доступна для широкого кола інвесторів. </w:t>
      </w:r>
      <w:r w:rsidR="00FE2D3F" w:rsidRPr="007E0AC1">
        <w:rPr>
          <w:spacing w:val="0"/>
          <w:sz w:val="28"/>
          <w:szCs w:val="28"/>
          <w:lang w:val="uk-UA"/>
        </w:rPr>
        <w:t xml:space="preserve">До складу індексного кошику ПФТС у 2005 р. входили акції 9 </w:t>
      </w:r>
      <w:r w:rsidR="00C77905" w:rsidRPr="007E0AC1">
        <w:rPr>
          <w:spacing w:val="0"/>
          <w:sz w:val="28"/>
          <w:szCs w:val="28"/>
          <w:lang w:val="uk-UA"/>
        </w:rPr>
        <w:t xml:space="preserve">українських </w:t>
      </w:r>
      <w:r w:rsidR="00FE2D3F" w:rsidRPr="007E0AC1">
        <w:rPr>
          <w:spacing w:val="0"/>
          <w:sz w:val="28"/>
          <w:szCs w:val="28"/>
          <w:lang w:val="uk-UA"/>
        </w:rPr>
        <w:t xml:space="preserve">емітентів, у 2006 р. – 14, у </w:t>
      </w:r>
      <w:r w:rsidR="00FE2D3F" w:rsidRPr="007E0AC1">
        <w:rPr>
          <w:spacing w:val="0"/>
          <w:sz w:val="28"/>
          <w:szCs w:val="28"/>
          <w:lang w:val="uk-UA"/>
        </w:rPr>
        <w:lastRenderedPageBreak/>
        <w:t>2007 р.  – 17, у 2008 р. - 20</w:t>
      </w:r>
      <w:r w:rsidR="00E87793" w:rsidRPr="007E0AC1">
        <w:rPr>
          <w:spacing w:val="0"/>
          <w:sz w:val="28"/>
          <w:szCs w:val="28"/>
          <w:lang w:val="uk-UA"/>
        </w:rPr>
        <w:t>. Перелік акцій для розрахунку індексу ПФТС формується Індексним комітетом ПФТС з цінних паперів, що входять до Списку ПФТС, на підставі даних про ринкову капіталізацію, обсяг торгів, кількість угод та інших факторів, що впливають на ліквідність акцій.</w:t>
      </w:r>
    </w:p>
    <w:p w:rsidR="00A45132" w:rsidRPr="007E0AC1" w:rsidRDefault="00A45132" w:rsidP="00A45132">
      <w:pPr>
        <w:pStyle w:val="a5"/>
        <w:ind w:firstLine="720"/>
        <w:jc w:val="both"/>
        <w:rPr>
          <w:sz w:val="28"/>
          <w:szCs w:val="28"/>
          <w:lang w:val="uk-UA"/>
        </w:rPr>
      </w:pPr>
      <w:r w:rsidRPr="007E0AC1">
        <w:rPr>
          <w:sz w:val="28"/>
          <w:szCs w:val="28"/>
          <w:lang w:val="uk-UA"/>
        </w:rPr>
        <w:t>У жовтні 2008 р. було прийняті Нові Правила розрахунку індексу ПФТС</w:t>
      </w:r>
      <w:r w:rsidR="0007439F" w:rsidRPr="007E0AC1">
        <w:rPr>
          <w:sz w:val="28"/>
          <w:szCs w:val="28"/>
          <w:lang w:val="uk-UA"/>
        </w:rPr>
        <w:t xml:space="preserve"> [14]</w:t>
      </w:r>
      <w:r w:rsidRPr="007E0AC1">
        <w:rPr>
          <w:sz w:val="28"/>
          <w:szCs w:val="28"/>
          <w:lang w:val="uk-UA"/>
        </w:rPr>
        <w:t xml:space="preserve">, які на відміну від раніше діючої методики додатково врегульовують наступні питання: кількість емітентів, акції яких включаються до «індексного кошику» індексу; особливості розрахунку індексу в режимі реального часу; особливості формування «індексного кошику» та періодичність внесення змін до «індексного кошику»; особливості формування «листа очікування» та періодичність внесення змін до «листа очікування»; обмеження питомої ваги акцій в базі розрахунку індексу; особливості оприлюднення інформації щодо значень індексу та його складових; порядок внесення змін до Правил розрахунку індексу ПФТС та особливості їх оприлюднення. </w:t>
      </w:r>
    </w:p>
    <w:p w:rsidR="00377223" w:rsidRPr="007E0AC1" w:rsidRDefault="005A027A" w:rsidP="00A45132">
      <w:pPr>
        <w:pStyle w:val="a5"/>
        <w:ind w:firstLine="720"/>
        <w:jc w:val="both"/>
        <w:rPr>
          <w:sz w:val="28"/>
          <w:szCs w:val="28"/>
          <w:lang w:val="uk-UA"/>
        </w:rPr>
      </w:pPr>
      <w:r w:rsidRPr="007E0AC1">
        <w:rPr>
          <w:sz w:val="28"/>
          <w:szCs w:val="28"/>
          <w:lang w:val="uk-UA"/>
        </w:rPr>
        <w:t>У відповідності до п. 6 Правил розрахунку Індексу ПФТС, рішення</w:t>
      </w:r>
      <w:r w:rsidR="00DD069D" w:rsidRPr="007E0AC1">
        <w:rPr>
          <w:sz w:val="28"/>
          <w:szCs w:val="28"/>
          <w:lang w:val="uk-UA"/>
        </w:rPr>
        <w:t>м Директора ПФТС</w:t>
      </w:r>
      <w:r w:rsidRPr="007E0AC1">
        <w:rPr>
          <w:sz w:val="28"/>
          <w:szCs w:val="28"/>
          <w:lang w:val="uk-UA"/>
        </w:rPr>
        <w:t xml:space="preserve"> (з урахуванням рекомендацій Інд</w:t>
      </w:r>
      <w:r w:rsidR="00C77905" w:rsidRPr="007E0AC1">
        <w:rPr>
          <w:sz w:val="28"/>
          <w:szCs w:val="28"/>
          <w:lang w:val="uk-UA"/>
        </w:rPr>
        <w:t>ексного комітету</w:t>
      </w:r>
      <w:r w:rsidRPr="007E0AC1">
        <w:rPr>
          <w:sz w:val="28"/>
          <w:szCs w:val="28"/>
          <w:lang w:val="uk-UA"/>
        </w:rPr>
        <w:t>) затверджено значення вагових коефіцієнтів кожної акції «індексного кошику»</w:t>
      </w:r>
      <w:r w:rsidR="00DD069D" w:rsidRPr="007E0AC1">
        <w:rPr>
          <w:sz w:val="28"/>
          <w:szCs w:val="28"/>
          <w:lang w:val="uk-UA"/>
        </w:rPr>
        <w:t xml:space="preserve"> Індексу ПФТС на 1 кв. 2009 р</w:t>
      </w:r>
      <w:r w:rsidRPr="007E0AC1">
        <w:rPr>
          <w:sz w:val="28"/>
          <w:szCs w:val="28"/>
          <w:lang w:val="uk-UA"/>
        </w:rPr>
        <w:t>.</w:t>
      </w:r>
      <w:r w:rsidR="00DD069D" w:rsidRPr="007E0AC1">
        <w:rPr>
          <w:sz w:val="28"/>
          <w:szCs w:val="28"/>
          <w:lang w:val="uk-UA"/>
        </w:rPr>
        <w:t>, а також р</w:t>
      </w:r>
      <w:r w:rsidR="00377223" w:rsidRPr="007E0AC1">
        <w:rPr>
          <w:sz w:val="28"/>
          <w:szCs w:val="28"/>
          <w:lang w:val="uk-UA"/>
        </w:rPr>
        <w:t>озміри free float</w:t>
      </w:r>
      <w:r w:rsidR="00DD069D" w:rsidRPr="007E0AC1">
        <w:rPr>
          <w:sz w:val="28"/>
          <w:szCs w:val="28"/>
          <w:lang w:val="uk-UA"/>
        </w:rPr>
        <w:t xml:space="preserve"> для нової бази розрахунку (табл. 2)</w:t>
      </w:r>
      <w:r w:rsidR="00377223" w:rsidRPr="007E0AC1">
        <w:rPr>
          <w:sz w:val="28"/>
          <w:szCs w:val="28"/>
          <w:lang w:val="uk-UA"/>
        </w:rPr>
        <w:t>:</w:t>
      </w:r>
    </w:p>
    <w:p w:rsidR="00A45132" w:rsidRPr="007E0AC1" w:rsidRDefault="00A45132" w:rsidP="00A45132">
      <w:pPr>
        <w:pStyle w:val="a5"/>
        <w:ind w:firstLine="720"/>
        <w:jc w:val="right"/>
        <w:rPr>
          <w:sz w:val="28"/>
          <w:szCs w:val="28"/>
          <w:lang w:val="uk-UA"/>
        </w:rPr>
      </w:pPr>
      <w:r w:rsidRPr="007E0AC1">
        <w:rPr>
          <w:sz w:val="28"/>
          <w:szCs w:val="28"/>
          <w:lang w:val="uk-UA"/>
        </w:rPr>
        <w:t>Таблиця 2</w:t>
      </w:r>
    </w:p>
    <w:p w:rsidR="00A45132" w:rsidRPr="007E0AC1" w:rsidRDefault="00A45132" w:rsidP="00C77905">
      <w:pPr>
        <w:pStyle w:val="a5"/>
        <w:ind w:firstLine="720"/>
        <w:jc w:val="center"/>
        <w:rPr>
          <w:sz w:val="28"/>
          <w:szCs w:val="28"/>
          <w:lang w:val="uk-UA"/>
        </w:rPr>
      </w:pPr>
      <w:r w:rsidRPr="007E0AC1">
        <w:rPr>
          <w:sz w:val="28"/>
          <w:szCs w:val="28"/>
          <w:lang w:val="uk-UA"/>
        </w:rPr>
        <w:t>Базисні умови розрахунку індекса ПФТС у 1кв. 2009 р</w:t>
      </w:r>
      <w:r w:rsidR="00C77905" w:rsidRPr="007E0AC1">
        <w:rPr>
          <w:sz w:val="28"/>
          <w:szCs w:val="28"/>
          <w:lang w:val="uk-UA"/>
        </w:rPr>
        <w:t>.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4"/>
        <w:gridCol w:w="6786"/>
        <w:gridCol w:w="846"/>
        <w:gridCol w:w="1140"/>
      </w:tblGrid>
      <w:tr w:rsidR="009A05D1" w:rsidRPr="00E15A6D" w:rsidTr="00E15A6D">
        <w:tc>
          <w:tcPr>
            <w:tcW w:w="594" w:type="dxa"/>
          </w:tcPr>
          <w:p w:rsidR="005E7792" w:rsidRPr="00E15A6D" w:rsidRDefault="00A45132" w:rsidP="005E7792">
            <w:pPr>
              <w:rPr>
                <w:spacing w:val="0"/>
                <w:sz w:val="28"/>
                <w:szCs w:val="28"/>
                <w:lang w:val="uk-UA"/>
              </w:rPr>
            </w:pPr>
            <w:r w:rsidRPr="00E15A6D">
              <w:rPr>
                <w:spacing w:val="0"/>
                <w:sz w:val="28"/>
                <w:szCs w:val="28"/>
                <w:lang w:val="uk-UA"/>
              </w:rPr>
              <w:t>№</w:t>
            </w:r>
            <w:r w:rsidR="00C77905" w:rsidRPr="00E15A6D">
              <w:rPr>
                <w:spacing w:val="0"/>
                <w:sz w:val="28"/>
                <w:szCs w:val="28"/>
                <w:lang w:val="uk-UA"/>
              </w:rPr>
              <w:t xml:space="preserve"> </w:t>
            </w:r>
            <w:r w:rsidRPr="00E15A6D">
              <w:rPr>
                <w:spacing w:val="0"/>
                <w:sz w:val="28"/>
                <w:szCs w:val="28"/>
                <w:lang w:val="uk-UA"/>
              </w:rPr>
              <w:t>п/п</w:t>
            </w:r>
          </w:p>
        </w:tc>
        <w:tc>
          <w:tcPr>
            <w:tcW w:w="6786" w:type="dxa"/>
          </w:tcPr>
          <w:p w:rsidR="005E7792" w:rsidRPr="00E15A6D" w:rsidRDefault="00A45132" w:rsidP="005E7792">
            <w:pPr>
              <w:rPr>
                <w:spacing w:val="0"/>
                <w:sz w:val="28"/>
                <w:szCs w:val="28"/>
                <w:lang w:val="uk-UA"/>
              </w:rPr>
            </w:pPr>
            <w:r w:rsidRPr="00E15A6D">
              <w:rPr>
                <w:spacing w:val="0"/>
                <w:sz w:val="28"/>
                <w:szCs w:val="28"/>
                <w:lang w:val="uk-UA"/>
              </w:rPr>
              <w:t xml:space="preserve">Назва емітента </w:t>
            </w:r>
          </w:p>
        </w:tc>
        <w:tc>
          <w:tcPr>
            <w:tcW w:w="846" w:type="dxa"/>
          </w:tcPr>
          <w:p w:rsidR="005E7792" w:rsidRPr="00E15A6D" w:rsidRDefault="005E7792" w:rsidP="005E7792">
            <w:pPr>
              <w:rPr>
                <w:spacing w:val="0"/>
                <w:sz w:val="28"/>
                <w:szCs w:val="28"/>
                <w:lang w:val="uk-UA"/>
              </w:rPr>
            </w:pPr>
            <w:r w:rsidRPr="00E15A6D">
              <w:rPr>
                <w:spacing w:val="0"/>
                <w:sz w:val="28"/>
                <w:szCs w:val="28"/>
                <w:lang w:val="uk-UA"/>
              </w:rPr>
              <w:t>free floa</w:t>
            </w:r>
            <w:r w:rsidR="00C77905" w:rsidRPr="00E15A6D">
              <w:rPr>
                <w:spacing w:val="0"/>
                <w:sz w:val="28"/>
                <w:szCs w:val="28"/>
                <w:lang w:val="uk-UA"/>
              </w:rPr>
              <w:t>t, %</w:t>
            </w:r>
            <w:r w:rsidRPr="00E15A6D">
              <w:rPr>
                <w:spacing w:val="0"/>
                <w:sz w:val="28"/>
                <w:szCs w:val="28"/>
                <w:lang w:val="uk-UA"/>
              </w:rPr>
              <w:t xml:space="preserve">t </w:t>
            </w:r>
          </w:p>
        </w:tc>
        <w:tc>
          <w:tcPr>
            <w:tcW w:w="1140" w:type="dxa"/>
          </w:tcPr>
          <w:p w:rsidR="005E7792" w:rsidRPr="00E15A6D" w:rsidRDefault="005E7792" w:rsidP="005E7792">
            <w:pPr>
              <w:rPr>
                <w:spacing w:val="0"/>
                <w:sz w:val="28"/>
                <w:szCs w:val="28"/>
                <w:lang w:val="uk-UA"/>
              </w:rPr>
            </w:pPr>
            <w:r w:rsidRPr="00E15A6D">
              <w:rPr>
                <w:spacing w:val="0"/>
                <w:sz w:val="28"/>
                <w:szCs w:val="28"/>
                <w:lang w:val="uk-UA"/>
              </w:rPr>
              <w:t>вагові коефі</w:t>
            </w:r>
            <w:r w:rsidR="00C77905" w:rsidRPr="00E15A6D">
              <w:rPr>
                <w:spacing w:val="0"/>
                <w:sz w:val="28"/>
                <w:szCs w:val="28"/>
                <w:lang w:val="uk-UA"/>
              </w:rPr>
              <w:t>-</w:t>
            </w:r>
            <w:r w:rsidRPr="00E15A6D">
              <w:rPr>
                <w:spacing w:val="0"/>
                <w:sz w:val="28"/>
                <w:szCs w:val="28"/>
                <w:lang w:val="uk-UA"/>
              </w:rPr>
              <w:t>цієнти</w:t>
            </w:r>
          </w:p>
        </w:tc>
      </w:tr>
      <w:tr w:rsidR="009A05D1" w:rsidRPr="00E15A6D" w:rsidTr="00E15A6D">
        <w:tc>
          <w:tcPr>
            <w:tcW w:w="594" w:type="dxa"/>
          </w:tcPr>
          <w:p w:rsidR="005E7792" w:rsidRPr="00E15A6D" w:rsidRDefault="005E7792" w:rsidP="00E15A6D">
            <w:pPr>
              <w:numPr>
                <w:ilvl w:val="0"/>
                <w:numId w:val="8"/>
              </w:numPr>
              <w:tabs>
                <w:tab w:val="clear" w:pos="720"/>
                <w:tab w:val="num" w:pos="0"/>
              </w:tabs>
              <w:ind w:left="0" w:firstLine="0"/>
              <w:rPr>
                <w:spacing w:val="0"/>
                <w:sz w:val="28"/>
                <w:szCs w:val="28"/>
                <w:lang w:val="uk-UA"/>
              </w:rPr>
            </w:pPr>
            <w:bookmarkStart w:id="0" w:name="_Hlk223848656"/>
          </w:p>
        </w:tc>
        <w:tc>
          <w:tcPr>
            <w:tcW w:w="6786" w:type="dxa"/>
          </w:tcPr>
          <w:p w:rsidR="005E7792" w:rsidRPr="00E15A6D" w:rsidRDefault="005E7792" w:rsidP="005E7792">
            <w:pPr>
              <w:rPr>
                <w:spacing w:val="0"/>
                <w:sz w:val="28"/>
                <w:szCs w:val="28"/>
                <w:lang w:val="uk-UA"/>
              </w:rPr>
            </w:pPr>
            <w:r w:rsidRPr="00E15A6D">
              <w:rPr>
                <w:spacing w:val="0"/>
                <w:sz w:val="28"/>
                <w:szCs w:val="28"/>
                <w:lang w:val="uk-UA"/>
              </w:rPr>
              <w:t xml:space="preserve">ВАТ «АКБ «Укрсоцбанк» (USCB) </w:t>
            </w:r>
          </w:p>
        </w:tc>
        <w:tc>
          <w:tcPr>
            <w:tcW w:w="846" w:type="dxa"/>
          </w:tcPr>
          <w:p w:rsidR="005E7792" w:rsidRPr="00E15A6D" w:rsidRDefault="005E7792" w:rsidP="005E7792">
            <w:pPr>
              <w:rPr>
                <w:spacing w:val="0"/>
                <w:sz w:val="28"/>
                <w:szCs w:val="28"/>
                <w:lang w:val="uk-UA"/>
              </w:rPr>
            </w:pPr>
            <w:r w:rsidRPr="00E15A6D">
              <w:rPr>
                <w:spacing w:val="0"/>
                <w:sz w:val="28"/>
                <w:szCs w:val="28"/>
                <w:lang w:val="uk-UA"/>
              </w:rPr>
              <w:t>5,01</w:t>
            </w:r>
          </w:p>
        </w:tc>
        <w:tc>
          <w:tcPr>
            <w:tcW w:w="1140" w:type="dxa"/>
          </w:tcPr>
          <w:p w:rsidR="005E7792" w:rsidRPr="00E15A6D" w:rsidRDefault="005E7792" w:rsidP="005E7792">
            <w:pPr>
              <w:rPr>
                <w:spacing w:val="0"/>
                <w:sz w:val="28"/>
                <w:szCs w:val="28"/>
                <w:lang w:val="uk-UA"/>
              </w:rPr>
            </w:pPr>
            <w:r w:rsidRPr="00E15A6D">
              <w:rPr>
                <w:spacing w:val="0"/>
                <w:sz w:val="28"/>
                <w:szCs w:val="28"/>
                <w:lang w:val="uk-UA"/>
              </w:rPr>
              <w:t>1,0000</w:t>
            </w:r>
          </w:p>
        </w:tc>
      </w:tr>
      <w:tr w:rsidR="009A05D1" w:rsidRPr="00E15A6D" w:rsidTr="00E15A6D">
        <w:tc>
          <w:tcPr>
            <w:tcW w:w="594" w:type="dxa"/>
          </w:tcPr>
          <w:p w:rsidR="005E7792" w:rsidRPr="00E15A6D" w:rsidRDefault="005E7792" w:rsidP="00E15A6D">
            <w:pPr>
              <w:numPr>
                <w:ilvl w:val="0"/>
                <w:numId w:val="8"/>
              </w:numPr>
              <w:tabs>
                <w:tab w:val="clear" w:pos="720"/>
                <w:tab w:val="num" w:pos="0"/>
              </w:tabs>
              <w:ind w:left="0" w:firstLine="0"/>
              <w:rPr>
                <w:spacing w:val="0"/>
                <w:sz w:val="28"/>
                <w:szCs w:val="28"/>
                <w:lang w:val="uk-UA"/>
              </w:rPr>
            </w:pPr>
          </w:p>
        </w:tc>
        <w:tc>
          <w:tcPr>
            <w:tcW w:w="6786" w:type="dxa"/>
          </w:tcPr>
          <w:p w:rsidR="005E7792" w:rsidRPr="00E15A6D" w:rsidRDefault="005E7792" w:rsidP="005E7792">
            <w:pPr>
              <w:rPr>
                <w:spacing w:val="0"/>
                <w:sz w:val="28"/>
                <w:szCs w:val="28"/>
                <w:lang w:val="uk-UA"/>
              </w:rPr>
            </w:pPr>
            <w:r w:rsidRPr="00E15A6D">
              <w:rPr>
                <w:spacing w:val="0"/>
                <w:sz w:val="28"/>
                <w:szCs w:val="28"/>
                <w:lang w:val="uk-UA"/>
              </w:rPr>
              <w:t xml:space="preserve">ВАТ «Райффайзен Банк Аваль» (BAVL) </w:t>
            </w:r>
          </w:p>
        </w:tc>
        <w:tc>
          <w:tcPr>
            <w:tcW w:w="846" w:type="dxa"/>
          </w:tcPr>
          <w:p w:rsidR="005E7792" w:rsidRPr="00E15A6D" w:rsidRDefault="005E7792" w:rsidP="005E7792">
            <w:pPr>
              <w:rPr>
                <w:spacing w:val="0"/>
                <w:sz w:val="28"/>
                <w:szCs w:val="28"/>
                <w:lang w:val="uk-UA"/>
              </w:rPr>
            </w:pPr>
            <w:r w:rsidRPr="00E15A6D">
              <w:rPr>
                <w:spacing w:val="0"/>
                <w:sz w:val="28"/>
                <w:szCs w:val="28"/>
                <w:lang w:val="uk-UA"/>
              </w:rPr>
              <w:t>4,04</w:t>
            </w:r>
          </w:p>
        </w:tc>
        <w:tc>
          <w:tcPr>
            <w:tcW w:w="1140" w:type="dxa"/>
          </w:tcPr>
          <w:p w:rsidR="005E7792" w:rsidRPr="00E15A6D" w:rsidRDefault="005E7792" w:rsidP="005E7792">
            <w:pPr>
              <w:rPr>
                <w:spacing w:val="0"/>
                <w:sz w:val="28"/>
                <w:szCs w:val="28"/>
                <w:lang w:val="uk-UA"/>
              </w:rPr>
            </w:pPr>
            <w:r w:rsidRPr="00E15A6D">
              <w:rPr>
                <w:spacing w:val="0"/>
                <w:sz w:val="28"/>
                <w:szCs w:val="28"/>
                <w:lang w:val="uk-UA"/>
              </w:rPr>
              <w:t>1,0000</w:t>
            </w:r>
          </w:p>
        </w:tc>
      </w:tr>
      <w:tr w:rsidR="009A05D1" w:rsidRPr="00E15A6D" w:rsidTr="00E15A6D">
        <w:tc>
          <w:tcPr>
            <w:tcW w:w="594" w:type="dxa"/>
          </w:tcPr>
          <w:p w:rsidR="005E7792" w:rsidRPr="00E15A6D" w:rsidRDefault="005E7792" w:rsidP="00E15A6D">
            <w:pPr>
              <w:numPr>
                <w:ilvl w:val="0"/>
                <w:numId w:val="8"/>
              </w:numPr>
              <w:tabs>
                <w:tab w:val="clear" w:pos="720"/>
                <w:tab w:val="num" w:pos="0"/>
              </w:tabs>
              <w:ind w:left="0" w:firstLine="0"/>
              <w:rPr>
                <w:spacing w:val="0"/>
                <w:sz w:val="28"/>
                <w:szCs w:val="28"/>
                <w:lang w:val="uk-UA"/>
              </w:rPr>
            </w:pPr>
          </w:p>
        </w:tc>
        <w:tc>
          <w:tcPr>
            <w:tcW w:w="6786" w:type="dxa"/>
          </w:tcPr>
          <w:p w:rsidR="005E7792" w:rsidRPr="00E15A6D" w:rsidRDefault="005E7792" w:rsidP="005E7792">
            <w:pPr>
              <w:rPr>
                <w:spacing w:val="0"/>
                <w:sz w:val="28"/>
                <w:szCs w:val="28"/>
                <w:lang w:val="uk-UA"/>
              </w:rPr>
            </w:pPr>
            <w:r w:rsidRPr="00E15A6D">
              <w:rPr>
                <w:spacing w:val="0"/>
                <w:sz w:val="28"/>
                <w:szCs w:val="28"/>
                <w:lang w:val="uk-UA"/>
              </w:rPr>
              <w:t xml:space="preserve">ВАТ «Авдіївський коксохімічний завод» (AVDK) </w:t>
            </w:r>
          </w:p>
        </w:tc>
        <w:tc>
          <w:tcPr>
            <w:tcW w:w="846" w:type="dxa"/>
          </w:tcPr>
          <w:p w:rsidR="005E7792" w:rsidRPr="00E15A6D" w:rsidRDefault="005E7792" w:rsidP="005E7792">
            <w:pPr>
              <w:rPr>
                <w:spacing w:val="0"/>
                <w:sz w:val="28"/>
                <w:szCs w:val="28"/>
                <w:lang w:val="uk-UA"/>
              </w:rPr>
            </w:pPr>
            <w:r w:rsidRPr="00E15A6D">
              <w:rPr>
                <w:spacing w:val="0"/>
                <w:sz w:val="28"/>
                <w:szCs w:val="28"/>
                <w:lang w:val="uk-UA"/>
              </w:rPr>
              <w:t>3,20</w:t>
            </w:r>
          </w:p>
        </w:tc>
        <w:tc>
          <w:tcPr>
            <w:tcW w:w="1140" w:type="dxa"/>
          </w:tcPr>
          <w:p w:rsidR="005E7792" w:rsidRPr="00E15A6D" w:rsidRDefault="005E7792" w:rsidP="005E7792">
            <w:pPr>
              <w:rPr>
                <w:spacing w:val="0"/>
                <w:sz w:val="28"/>
                <w:szCs w:val="28"/>
                <w:lang w:val="uk-UA"/>
              </w:rPr>
            </w:pPr>
            <w:r w:rsidRPr="00E15A6D">
              <w:rPr>
                <w:spacing w:val="0"/>
                <w:sz w:val="28"/>
                <w:szCs w:val="28"/>
                <w:lang w:val="uk-UA"/>
              </w:rPr>
              <w:t>1,0000</w:t>
            </w:r>
          </w:p>
        </w:tc>
      </w:tr>
      <w:tr w:rsidR="009A05D1" w:rsidRPr="00E15A6D" w:rsidTr="00E15A6D">
        <w:trPr>
          <w:trHeight w:val="248"/>
        </w:trPr>
        <w:tc>
          <w:tcPr>
            <w:tcW w:w="594" w:type="dxa"/>
          </w:tcPr>
          <w:p w:rsidR="005E7792" w:rsidRPr="00E15A6D" w:rsidRDefault="005E7792" w:rsidP="00E15A6D">
            <w:pPr>
              <w:numPr>
                <w:ilvl w:val="0"/>
                <w:numId w:val="8"/>
              </w:numPr>
              <w:tabs>
                <w:tab w:val="clear" w:pos="720"/>
                <w:tab w:val="num" w:pos="0"/>
              </w:tabs>
              <w:ind w:left="0" w:firstLine="0"/>
              <w:rPr>
                <w:spacing w:val="0"/>
                <w:sz w:val="28"/>
                <w:szCs w:val="28"/>
                <w:lang w:val="uk-UA"/>
              </w:rPr>
            </w:pPr>
          </w:p>
        </w:tc>
        <w:tc>
          <w:tcPr>
            <w:tcW w:w="6786" w:type="dxa"/>
          </w:tcPr>
          <w:p w:rsidR="005E7792" w:rsidRPr="00E15A6D" w:rsidRDefault="005E7792" w:rsidP="005E7792">
            <w:pPr>
              <w:rPr>
                <w:spacing w:val="0"/>
                <w:sz w:val="28"/>
                <w:szCs w:val="28"/>
                <w:lang w:val="uk-UA"/>
              </w:rPr>
            </w:pPr>
            <w:r w:rsidRPr="00E15A6D">
              <w:rPr>
                <w:spacing w:val="0"/>
                <w:sz w:val="28"/>
                <w:szCs w:val="28"/>
                <w:lang w:val="uk-UA"/>
              </w:rPr>
              <w:t xml:space="preserve">ВАТ «Крюківський вагонобудівний завод» (KVBZ) </w:t>
            </w:r>
          </w:p>
        </w:tc>
        <w:tc>
          <w:tcPr>
            <w:tcW w:w="846" w:type="dxa"/>
          </w:tcPr>
          <w:p w:rsidR="005E7792" w:rsidRPr="00E15A6D" w:rsidRDefault="005E7792" w:rsidP="005E7792">
            <w:pPr>
              <w:rPr>
                <w:spacing w:val="0"/>
                <w:sz w:val="28"/>
                <w:szCs w:val="28"/>
                <w:lang w:val="uk-UA"/>
              </w:rPr>
            </w:pPr>
            <w:r w:rsidRPr="00E15A6D">
              <w:rPr>
                <w:spacing w:val="0"/>
                <w:sz w:val="28"/>
                <w:szCs w:val="28"/>
                <w:lang w:val="uk-UA"/>
              </w:rPr>
              <w:t>4,71</w:t>
            </w:r>
          </w:p>
        </w:tc>
        <w:tc>
          <w:tcPr>
            <w:tcW w:w="1140" w:type="dxa"/>
          </w:tcPr>
          <w:p w:rsidR="005E7792" w:rsidRPr="00E15A6D" w:rsidRDefault="005E7792" w:rsidP="005E7792">
            <w:pPr>
              <w:rPr>
                <w:spacing w:val="0"/>
                <w:sz w:val="28"/>
                <w:szCs w:val="28"/>
                <w:lang w:val="uk-UA"/>
              </w:rPr>
            </w:pPr>
            <w:r w:rsidRPr="00E15A6D">
              <w:rPr>
                <w:spacing w:val="0"/>
                <w:sz w:val="28"/>
                <w:szCs w:val="28"/>
                <w:lang w:val="uk-UA"/>
              </w:rPr>
              <w:t>1,0000</w:t>
            </w:r>
          </w:p>
        </w:tc>
      </w:tr>
      <w:tr w:rsidR="009A05D1" w:rsidRPr="00E15A6D" w:rsidTr="00E15A6D">
        <w:tc>
          <w:tcPr>
            <w:tcW w:w="594" w:type="dxa"/>
          </w:tcPr>
          <w:p w:rsidR="005E7792" w:rsidRPr="00E15A6D" w:rsidRDefault="005E7792" w:rsidP="00E15A6D">
            <w:pPr>
              <w:numPr>
                <w:ilvl w:val="0"/>
                <w:numId w:val="8"/>
              </w:numPr>
              <w:tabs>
                <w:tab w:val="clear" w:pos="720"/>
                <w:tab w:val="num" w:pos="0"/>
              </w:tabs>
              <w:ind w:left="0" w:firstLine="0"/>
              <w:rPr>
                <w:spacing w:val="0"/>
                <w:sz w:val="28"/>
                <w:szCs w:val="28"/>
                <w:lang w:val="uk-UA"/>
              </w:rPr>
            </w:pPr>
          </w:p>
        </w:tc>
        <w:tc>
          <w:tcPr>
            <w:tcW w:w="6786" w:type="dxa"/>
          </w:tcPr>
          <w:p w:rsidR="005E7792" w:rsidRPr="00E15A6D" w:rsidRDefault="005E7792" w:rsidP="005E7792">
            <w:pPr>
              <w:rPr>
                <w:spacing w:val="0"/>
                <w:sz w:val="28"/>
                <w:szCs w:val="28"/>
                <w:lang w:val="uk-UA"/>
              </w:rPr>
            </w:pPr>
            <w:r w:rsidRPr="00E15A6D">
              <w:rPr>
                <w:spacing w:val="0"/>
                <w:sz w:val="28"/>
                <w:szCs w:val="28"/>
                <w:lang w:val="uk-UA"/>
              </w:rPr>
              <w:t xml:space="preserve">ВАТ «Мотор Січ» (MSICH) </w:t>
            </w:r>
          </w:p>
        </w:tc>
        <w:tc>
          <w:tcPr>
            <w:tcW w:w="846" w:type="dxa"/>
          </w:tcPr>
          <w:p w:rsidR="005E7792" w:rsidRPr="00E15A6D" w:rsidRDefault="005E7792" w:rsidP="005E7792">
            <w:pPr>
              <w:rPr>
                <w:spacing w:val="0"/>
                <w:sz w:val="28"/>
                <w:szCs w:val="28"/>
                <w:lang w:val="uk-UA"/>
              </w:rPr>
            </w:pPr>
            <w:r w:rsidRPr="00E15A6D">
              <w:rPr>
                <w:spacing w:val="0"/>
                <w:sz w:val="28"/>
                <w:szCs w:val="28"/>
                <w:lang w:val="uk-UA"/>
              </w:rPr>
              <w:t>33,80</w:t>
            </w:r>
          </w:p>
        </w:tc>
        <w:tc>
          <w:tcPr>
            <w:tcW w:w="1140" w:type="dxa"/>
          </w:tcPr>
          <w:p w:rsidR="005E7792" w:rsidRPr="00E15A6D" w:rsidRDefault="005E7792" w:rsidP="005E7792">
            <w:pPr>
              <w:rPr>
                <w:spacing w:val="0"/>
                <w:sz w:val="28"/>
                <w:szCs w:val="28"/>
                <w:lang w:val="uk-UA"/>
              </w:rPr>
            </w:pPr>
            <w:r w:rsidRPr="00E15A6D">
              <w:rPr>
                <w:spacing w:val="0"/>
                <w:sz w:val="28"/>
                <w:szCs w:val="28"/>
                <w:lang w:val="uk-UA"/>
              </w:rPr>
              <w:t>1,0000</w:t>
            </w:r>
          </w:p>
        </w:tc>
      </w:tr>
      <w:tr w:rsidR="009A05D1" w:rsidRPr="00E15A6D" w:rsidTr="00E15A6D">
        <w:tc>
          <w:tcPr>
            <w:tcW w:w="594" w:type="dxa"/>
          </w:tcPr>
          <w:p w:rsidR="005E7792" w:rsidRPr="00E15A6D" w:rsidRDefault="005E7792" w:rsidP="00E15A6D">
            <w:pPr>
              <w:numPr>
                <w:ilvl w:val="0"/>
                <w:numId w:val="8"/>
              </w:numPr>
              <w:tabs>
                <w:tab w:val="clear" w:pos="720"/>
                <w:tab w:val="num" w:pos="0"/>
              </w:tabs>
              <w:ind w:left="0" w:firstLine="0"/>
              <w:rPr>
                <w:spacing w:val="0"/>
                <w:sz w:val="28"/>
                <w:szCs w:val="28"/>
                <w:lang w:val="uk-UA"/>
              </w:rPr>
            </w:pPr>
          </w:p>
        </w:tc>
        <w:tc>
          <w:tcPr>
            <w:tcW w:w="6786" w:type="dxa"/>
          </w:tcPr>
          <w:p w:rsidR="005E7792" w:rsidRPr="00E15A6D" w:rsidRDefault="005E7792" w:rsidP="005E7792">
            <w:pPr>
              <w:rPr>
                <w:spacing w:val="0"/>
                <w:sz w:val="28"/>
                <w:szCs w:val="28"/>
                <w:lang w:val="uk-UA"/>
              </w:rPr>
            </w:pPr>
            <w:r w:rsidRPr="00E15A6D">
              <w:rPr>
                <w:spacing w:val="0"/>
                <w:sz w:val="28"/>
                <w:szCs w:val="28"/>
                <w:lang w:val="uk-UA"/>
              </w:rPr>
              <w:t xml:space="preserve">ВАТ «Маріупольський завод важкого машинобудування» (MZVM) </w:t>
            </w:r>
          </w:p>
        </w:tc>
        <w:tc>
          <w:tcPr>
            <w:tcW w:w="846" w:type="dxa"/>
          </w:tcPr>
          <w:p w:rsidR="005E7792" w:rsidRPr="00E15A6D" w:rsidRDefault="005E7792" w:rsidP="005E7792">
            <w:pPr>
              <w:rPr>
                <w:spacing w:val="0"/>
                <w:sz w:val="28"/>
                <w:szCs w:val="28"/>
                <w:lang w:val="uk-UA"/>
              </w:rPr>
            </w:pPr>
            <w:r w:rsidRPr="00E15A6D">
              <w:rPr>
                <w:spacing w:val="0"/>
                <w:sz w:val="28"/>
                <w:szCs w:val="28"/>
                <w:lang w:val="uk-UA"/>
              </w:rPr>
              <w:t>15,72</w:t>
            </w:r>
          </w:p>
        </w:tc>
        <w:tc>
          <w:tcPr>
            <w:tcW w:w="1140" w:type="dxa"/>
          </w:tcPr>
          <w:p w:rsidR="005E7792" w:rsidRPr="00E15A6D" w:rsidRDefault="005E7792" w:rsidP="005E7792">
            <w:pPr>
              <w:rPr>
                <w:spacing w:val="0"/>
                <w:sz w:val="28"/>
                <w:szCs w:val="28"/>
                <w:lang w:val="uk-UA"/>
              </w:rPr>
            </w:pPr>
            <w:r w:rsidRPr="00E15A6D">
              <w:rPr>
                <w:spacing w:val="0"/>
                <w:sz w:val="28"/>
                <w:szCs w:val="28"/>
                <w:lang w:val="uk-UA"/>
              </w:rPr>
              <w:t>1,0000</w:t>
            </w:r>
          </w:p>
        </w:tc>
      </w:tr>
      <w:tr w:rsidR="009A05D1" w:rsidRPr="00E15A6D" w:rsidTr="00E15A6D">
        <w:tc>
          <w:tcPr>
            <w:tcW w:w="594" w:type="dxa"/>
          </w:tcPr>
          <w:p w:rsidR="005E7792" w:rsidRPr="00E15A6D" w:rsidRDefault="005E7792" w:rsidP="00E15A6D">
            <w:pPr>
              <w:numPr>
                <w:ilvl w:val="0"/>
                <w:numId w:val="8"/>
              </w:numPr>
              <w:tabs>
                <w:tab w:val="clear" w:pos="720"/>
                <w:tab w:val="num" w:pos="0"/>
              </w:tabs>
              <w:ind w:left="0" w:firstLine="0"/>
              <w:rPr>
                <w:spacing w:val="0"/>
                <w:sz w:val="28"/>
                <w:szCs w:val="28"/>
                <w:lang w:val="uk-UA"/>
              </w:rPr>
            </w:pPr>
          </w:p>
        </w:tc>
        <w:tc>
          <w:tcPr>
            <w:tcW w:w="6786" w:type="dxa"/>
          </w:tcPr>
          <w:p w:rsidR="005E7792" w:rsidRPr="00E15A6D" w:rsidRDefault="005E7792" w:rsidP="005E7792">
            <w:pPr>
              <w:rPr>
                <w:spacing w:val="0"/>
                <w:sz w:val="28"/>
                <w:szCs w:val="28"/>
                <w:lang w:val="uk-UA"/>
              </w:rPr>
            </w:pPr>
            <w:r w:rsidRPr="00E15A6D">
              <w:rPr>
                <w:spacing w:val="0"/>
                <w:sz w:val="28"/>
                <w:szCs w:val="28"/>
                <w:lang w:val="uk-UA"/>
              </w:rPr>
              <w:t xml:space="preserve">ВАТ «Сумське машинобудівне НВО ім.Фрунзе» (SMASH) </w:t>
            </w:r>
          </w:p>
        </w:tc>
        <w:tc>
          <w:tcPr>
            <w:tcW w:w="846" w:type="dxa"/>
          </w:tcPr>
          <w:p w:rsidR="005E7792" w:rsidRPr="00E15A6D" w:rsidRDefault="005E7792" w:rsidP="005E7792">
            <w:pPr>
              <w:rPr>
                <w:spacing w:val="0"/>
                <w:sz w:val="28"/>
                <w:szCs w:val="28"/>
                <w:lang w:val="uk-UA"/>
              </w:rPr>
            </w:pPr>
            <w:r w:rsidRPr="00E15A6D">
              <w:rPr>
                <w:spacing w:val="0"/>
                <w:sz w:val="28"/>
                <w:szCs w:val="28"/>
                <w:lang w:val="uk-UA"/>
              </w:rPr>
              <w:t>12,90</w:t>
            </w:r>
          </w:p>
        </w:tc>
        <w:tc>
          <w:tcPr>
            <w:tcW w:w="1140" w:type="dxa"/>
          </w:tcPr>
          <w:p w:rsidR="005E7792" w:rsidRPr="00E15A6D" w:rsidRDefault="005E7792" w:rsidP="005E7792">
            <w:pPr>
              <w:rPr>
                <w:spacing w:val="0"/>
                <w:sz w:val="28"/>
                <w:szCs w:val="28"/>
                <w:lang w:val="uk-UA"/>
              </w:rPr>
            </w:pPr>
            <w:r w:rsidRPr="00E15A6D">
              <w:rPr>
                <w:spacing w:val="0"/>
                <w:sz w:val="28"/>
                <w:szCs w:val="28"/>
                <w:lang w:val="uk-UA"/>
              </w:rPr>
              <w:t>1,0000</w:t>
            </w:r>
          </w:p>
        </w:tc>
      </w:tr>
      <w:tr w:rsidR="009A05D1" w:rsidRPr="00E15A6D" w:rsidTr="00E15A6D">
        <w:tc>
          <w:tcPr>
            <w:tcW w:w="594" w:type="dxa"/>
          </w:tcPr>
          <w:p w:rsidR="005E7792" w:rsidRPr="00E15A6D" w:rsidRDefault="005E7792" w:rsidP="00E15A6D">
            <w:pPr>
              <w:numPr>
                <w:ilvl w:val="0"/>
                <w:numId w:val="8"/>
              </w:numPr>
              <w:tabs>
                <w:tab w:val="clear" w:pos="720"/>
                <w:tab w:val="num" w:pos="0"/>
              </w:tabs>
              <w:ind w:left="0" w:firstLine="0"/>
              <w:rPr>
                <w:spacing w:val="0"/>
                <w:sz w:val="28"/>
                <w:szCs w:val="28"/>
                <w:lang w:val="uk-UA"/>
              </w:rPr>
            </w:pPr>
          </w:p>
        </w:tc>
        <w:tc>
          <w:tcPr>
            <w:tcW w:w="6786" w:type="dxa"/>
          </w:tcPr>
          <w:p w:rsidR="005E7792" w:rsidRPr="00E15A6D" w:rsidRDefault="005E7792" w:rsidP="005E7792">
            <w:pPr>
              <w:rPr>
                <w:spacing w:val="0"/>
                <w:sz w:val="28"/>
                <w:szCs w:val="28"/>
                <w:lang w:val="uk-UA"/>
              </w:rPr>
            </w:pPr>
            <w:r w:rsidRPr="00E15A6D">
              <w:rPr>
                <w:spacing w:val="0"/>
                <w:sz w:val="28"/>
                <w:szCs w:val="28"/>
                <w:lang w:val="uk-UA"/>
              </w:rPr>
              <w:t xml:space="preserve">ВАТ «Алчевський металургійний комбінат» (ALMK) </w:t>
            </w:r>
          </w:p>
        </w:tc>
        <w:tc>
          <w:tcPr>
            <w:tcW w:w="846" w:type="dxa"/>
          </w:tcPr>
          <w:p w:rsidR="005E7792" w:rsidRPr="00E15A6D" w:rsidRDefault="005E7792" w:rsidP="005E7792">
            <w:pPr>
              <w:rPr>
                <w:spacing w:val="0"/>
                <w:sz w:val="28"/>
                <w:szCs w:val="28"/>
                <w:lang w:val="uk-UA"/>
              </w:rPr>
            </w:pPr>
            <w:r w:rsidRPr="00E15A6D">
              <w:rPr>
                <w:spacing w:val="0"/>
                <w:sz w:val="28"/>
                <w:szCs w:val="28"/>
                <w:lang w:val="uk-UA"/>
              </w:rPr>
              <w:t>4,27</w:t>
            </w:r>
          </w:p>
        </w:tc>
        <w:tc>
          <w:tcPr>
            <w:tcW w:w="1140" w:type="dxa"/>
          </w:tcPr>
          <w:p w:rsidR="005E7792" w:rsidRPr="00E15A6D" w:rsidRDefault="005E7792" w:rsidP="005E7792">
            <w:pPr>
              <w:rPr>
                <w:spacing w:val="0"/>
                <w:sz w:val="28"/>
                <w:szCs w:val="28"/>
                <w:lang w:val="uk-UA"/>
              </w:rPr>
            </w:pPr>
            <w:r w:rsidRPr="00E15A6D">
              <w:rPr>
                <w:spacing w:val="0"/>
                <w:sz w:val="28"/>
                <w:szCs w:val="28"/>
                <w:lang w:val="uk-UA"/>
              </w:rPr>
              <w:t>1,0000</w:t>
            </w:r>
          </w:p>
        </w:tc>
      </w:tr>
      <w:tr w:rsidR="009A05D1" w:rsidRPr="00E15A6D" w:rsidTr="00E15A6D">
        <w:tc>
          <w:tcPr>
            <w:tcW w:w="594" w:type="dxa"/>
          </w:tcPr>
          <w:p w:rsidR="005E7792" w:rsidRPr="00E15A6D" w:rsidRDefault="005E7792" w:rsidP="00E15A6D">
            <w:pPr>
              <w:numPr>
                <w:ilvl w:val="0"/>
                <w:numId w:val="8"/>
              </w:numPr>
              <w:tabs>
                <w:tab w:val="clear" w:pos="720"/>
                <w:tab w:val="num" w:pos="0"/>
              </w:tabs>
              <w:ind w:left="0" w:firstLine="0"/>
              <w:rPr>
                <w:spacing w:val="0"/>
                <w:sz w:val="28"/>
                <w:szCs w:val="28"/>
                <w:lang w:val="uk-UA"/>
              </w:rPr>
            </w:pPr>
          </w:p>
        </w:tc>
        <w:tc>
          <w:tcPr>
            <w:tcW w:w="6786" w:type="dxa"/>
          </w:tcPr>
          <w:p w:rsidR="005E7792" w:rsidRPr="00E15A6D" w:rsidRDefault="005E7792" w:rsidP="005E7792">
            <w:pPr>
              <w:rPr>
                <w:spacing w:val="0"/>
                <w:sz w:val="28"/>
                <w:szCs w:val="28"/>
                <w:lang w:val="uk-UA"/>
              </w:rPr>
            </w:pPr>
            <w:r w:rsidRPr="00E15A6D">
              <w:rPr>
                <w:spacing w:val="0"/>
                <w:sz w:val="28"/>
                <w:szCs w:val="28"/>
                <w:lang w:val="uk-UA"/>
              </w:rPr>
              <w:t xml:space="preserve">ВАТ «Азовсталь» (AZST) </w:t>
            </w:r>
          </w:p>
        </w:tc>
        <w:tc>
          <w:tcPr>
            <w:tcW w:w="846" w:type="dxa"/>
          </w:tcPr>
          <w:p w:rsidR="005E7792" w:rsidRPr="00E15A6D" w:rsidRDefault="005E7792" w:rsidP="005E7792">
            <w:pPr>
              <w:rPr>
                <w:spacing w:val="0"/>
                <w:sz w:val="28"/>
                <w:szCs w:val="28"/>
                <w:lang w:val="uk-UA"/>
              </w:rPr>
            </w:pPr>
            <w:r w:rsidRPr="00E15A6D">
              <w:rPr>
                <w:spacing w:val="0"/>
                <w:sz w:val="28"/>
                <w:szCs w:val="28"/>
                <w:lang w:val="uk-UA"/>
              </w:rPr>
              <w:t>2,30</w:t>
            </w:r>
          </w:p>
        </w:tc>
        <w:tc>
          <w:tcPr>
            <w:tcW w:w="1140" w:type="dxa"/>
          </w:tcPr>
          <w:p w:rsidR="005E7792" w:rsidRPr="00E15A6D" w:rsidRDefault="005E7792" w:rsidP="005E7792">
            <w:pPr>
              <w:rPr>
                <w:spacing w:val="0"/>
                <w:sz w:val="28"/>
                <w:szCs w:val="28"/>
                <w:lang w:val="uk-UA"/>
              </w:rPr>
            </w:pPr>
            <w:r w:rsidRPr="00E15A6D">
              <w:rPr>
                <w:spacing w:val="0"/>
                <w:sz w:val="28"/>
                <w:szCs w:val="28"/>
                <w:lang w:val="uk-UA"/>
              </w:rPr>
              <w:t>1,0000</w:t>
            </w:r>
          </w:p>
        </w:tc>
      </w:tr>
      <w:tr w:rsidR="009A05D1" w:rsidRPr="00E15A6D" w:rsidTr="00E15A6D">
        <w:tc>
          <w:tcPr>
            <w:tcW w:w="594" w:type="dxa"/>
          </w:tcPr>
          <w:p w:rsidR="005E7792" w:rsidRPr="00E15A6D" w:rsidRDefault="005E7792" w:rsidP="00E15A6D">
            <w:pPr>
              <w:numPr>
                <w:ilvl w:val="0"/>
                <w:numId w:val="8"/>
              </w:numPr>
              <w:tabs>
                <w:tab w:val="clear" w:pos="720"/>
                <w:tab w:val="num" w:pos="0"/>
              </w:tabs>
              <w:ind w:left="0" w:firstLine="0"/>
              <w:rPr>
                <w:spacing w:val="0"/>
                <w:sz w:val="28"/>
                <w:szCs w:val="28"/>
                <w:lang w:val="uk-UA"/>
              </w:rPr>
            </w:pPr>
          </w:p>
        </w:tc>
        <w:tc>
          <w:tcPr>
            <w:tcW w:w="6786" w:type="dxa"/>
          </w:tcPr>
          <w:p w:rsidR="005E7792" w:rsidRPr="00E15A6D" w:rsidRDefault="005E7792" w:rsidP="005E7792">
            <w:pPr>
              <w:rPr>
                <w:spacing w:val="0"/>
                <w:sz w:val="28"/>
                <w:szCs w:val="28"/>
                <w:lang w:val="uk-UA"/>
              </w:rPr>
            </w:pPr>
            <w:r w:rsidRPr="00E15A6D">
              <w:rPr>
                <w:spacing w:val="0"/>
                <w:sz w:val="28"/>
                <w:szCs w:val="28"/>
                <w:lang w:val="uk-UA"/>
              </w:rPr>
              <w:t xml:space="preserve">ВАТ «Єнакієвський металургійний завод» (ENMZ) </w:t>
            </w:r>
          </w:p>
        </w:tc>
        <w:tc>
          <w:tcPr>
            <w:tcW w:w="846" w:type="dxa"/>
          </w:tcPr>
          <w:p w:rsidR="005E7792" w:rsidRPr="00E15A6D" w:rsidRDefault="005E7792" w:rsidP="005E7792">
            <w:pPr>
              <w:rPr>
                <w:spacing w:val="0"/>
                <w:sz w:val="28"/>
                <w:szCs w:val="28"/>
                <w:lang w:val="uk-UA"/>
              </w:rPr>
            </w:pPr>
            <w:r w:rsidRPr="00E15A6D">
              <w:rPr>
                <w:spacing w:val="0"/>
                <w:sz w:val="28"/>
                <w:szCs w:val="28"/>
                <w:lang w:val="uk-UA"/>
              </w:rPr>
              <w:t>14,37</w:t>
            </w:r>
          </w:p>
        </w:tc>
        <w:tc>
          <w:tcPr>
            <w:tcW w:w="1140" w:type="dxa"/>
          </w:tcPr>
          <w:p w:rsidR="005E7792" w:rsidRPr="00E15A6D" w:rsidRDefault="005E7792" w:rsidP="005E7792">
            <w:pPr>
              <w:rPr>
                <w:spacing w:val="0"/>
                <w:sz w:val="28"/>
                <w:szCs w:val="28"/>
                <w:lang w:val="uk-UA"/>
              </w:rPr>
            </w:pPr>
            <w:r w:rsidRPr="00E15A6D">
              <w:rPr>
                <w:spacing w:val="0"/>
                <w:sz w:val="28"/>
                <w:szCs w:val="28"/>
                <w:lang w:val="uk-UA"/>
              </w:rPr>
              <w:t>1,0000</w:t>
            </w:r>
          </w:p>
        </w:tc>
      </w:tr>
      <w:tr w:rsidR="009A05D1" w:rsidRPr="00E15A6D" w:rsidTr="00E15A6D">
        <w:tc>
          <w:tcPr>
            <w:tcW w:w="594" w:type="dxa"/>
          </w:tcPr>
          <w:p w:rsidR="005E7792" w:rsidRPr="00E15A6D" w:rsidRDefault="005E7792" w:rsidP="00E15A6D">
            <w:pPr>
              <w:numPr>
                <w:ilvl w:val="0"/>
                <w:numId w:val="8"/>
              </w:numPr>
              <w:tabs>
                <w:tab w:val="clear" w:pos="720"/>
                <w:tab w:val="num" w:pos="0"/>
              </w:tabs>
              <w:ind w:left="0" w:firstLine="0"/>
              <w:rPr>
                <w:spacing w:val="0"/>
                <w:sz w:val="28"/>
                <w:szCs w:val="28"/>
                <w:lang w:val="uk-UA"/>
              </w:rPr>
            </w:pPr>
          </w:p>
        </w:tc>
        <w:tc>
          <w:tcPr>
            <w:tcW w:w="6786" w:type="dxa"/>
          </w:tcPr>
          <w:p w:rsidR="005E7792" w:rsidRPr="00E15A6D" w:rsidRDefault="005E7792" w:rsidP="005E7792">
            <w:pPr>
              <w:rPr>
                <w:spacing w:val="0"/>
                <w:sz w:val="28"/>
                <w:szCs w:val="28"/>
                <w:lang w:val="uk-UA"/>
              </w:rPr>
            </w:pPr>
            <w:r w:rsidRPr="00E15A6D">
              <w:rPr>
                <w:spacing w:val="0"/>
                <w:sz w:val="28"/>
                <w:szCs w:val="28"/>
                <w:lang w:val="uk-UA"/>
              </w:rPr>
              <w:t xml:space="preserve">ВАТ «Маріупольський металургійний комбінат ім. Ілліча» (MMKI) </w:t>
            </w:r>
          </w:p>
        </w:tc>
        <w:tc>
          <w:tcPr>
            <w:tcW w:w="846" w:type="dxa"/>
          </w:tcPr>
          <w:p w:rsidR="005E7792" w:rsidRPr="00E15A6D" w:rsidRDefault="005E7792" w:rsidP="005E7792">
            <w:pPr>
              <w:rPr>
                <w:spacing w:val="0"/>
                <w:sz w:val="28"/>
                <w:szCs w:val="28"/>
                <w:lang w:val="uk-UA"/>
              </w:rPr>
            </w:pPr>
            <w:r w:rsidRPr="00E15A6D">
              <w:rPr>
                <w:spacing w:val="0"/>
                <w:sz w:val="28"/>
                <w:szCs w:val="28"/>
                <w:lang w:val="uk-UA"/>
              </w:rPr>
              <w:t>9,59</w:t>
            </w:r>
          </w:p>
        </w:tc>
        <w:tc>
          <w:tcPr>
            <w:tcW w:w="1140" w:type="dxa"/>
          </w:tcPr>
          <w:p w:rsidR="005E7792" w:rsidRPr="00E15A6D" w:rsidRDefault="005E7792" w:rsidP="005E7792">
            <w:pPr>
              <w:rPr>
                <w:spacing w:val="0"/>
                <w:sz w:val="28"/>
                <w:szCs w:val="28"/>
                <w:lang w:val="uk-UA"/>
              </w:rPr>
            </w:pPr>
            <w:r w:rsidRPr="00E15A6D">
              <w:rPr>
                <w:spacing w:val="0"/>
                <w:sz w:val="28"/>
                <w:szCs w:val="28"/>
                <w:lang w:val="uk-UA"/>
              </w:rPr>
              <w:t>1,0000</w:t>
            </w:r>
          </w:p>
        </w:tc>
      </w:tr>
      <w:tr w:rsidR="009A05D1" w:rsidRPr="00E15A6D" w:rsidTr="00E15A6D">
        <w:tc>
          <w:tcPr>
            <w:tcW w:w="594" w:type="dxa"/>
          </w:tcPr>
          <w:p w:rsidR="005E7792" w:rsidRPr="00E15A6D" w:rsidRDefault="005E7792" w:rsidP="00E15A6D">
            <w:pPr>
              <w:numPr>
                <w:ilvl w:val="0"/>
                <w:numId w:val="8"/>
              </w:numPr>
              <w:tabs>
                <w:tab w:val="clear" w:pos="720"/>
                <w:tab w:val="num" w:pos="0"/>
              </w:tabs>
              <w:ind w:left="0" w:firstLine="0"/>
              <w:rPr>
                <w:spacing w:val="0"/>
                <w:sz w:val="28"/>
                <w:szCs w:val="28"/>
                <w:lang w:val="uk-UA"/>
              </w:rPr>
            </w:pPr>
          </w:p>
        </w:tc>
        <w:tc>
          <w:tcPr>
            <w:tcW w:w="6786" w:type="dxa"/>
          </w:tcPr>
          <w:p w:rsidR="005E7792" w:rsidRPr="00E15A6D" w:rsidRDefault="005E7792" w:rsidP="005E7792">
            <w:pPr>
              <w:rPr>
                <w:spacing w:val="0"/>
                <w:sz w:val="28"/>
                <w:szCs w:val="28"/>
                <w:lang w:val="uk-UA"/>
              </w:rPr>
            </w:pPr>
            <w:r w:rsidRPr="00E15A6D">
              <w:rPr>
                <w:spacing w:val="0"/>
                <w:sz w:val="28"/>
                <w:szCs w:val="28"/>
                <w:lang w:val="uk-UA"/>
              </w:rPr>
              <w:t xml:space="preserve">ВАТ «Укрнафта» (UNAF) </w:t>
            </w:r>
          </w:p>
        </w:tc>
        <w:tc>
          <w:tcPr>
            <w:tcW w:w="846" w:type="dxa"/>
          </w:tcPr>
          <w:p w:rsidR="005E7792" w:rsidRPr="00E15A6D" w:rsidRDefault="005E7792" w:rsidP="005E7792">
            <w:pPr>
              <w:rPr>
                <w:spacing w:val="0"/>
                <w:sz w:val="28"/>
                <w:szCs w:val="28"/>
                <w:lang w:val="uk-UA"/>
              </w:rPr>
            </w:pPr>
            <w:r w:rsidRPr="00E15A6D">
              <w:rPr>
                <w:spacing w:val="0"/>
                <w:sz w:val="28"/>
                <w:szCs w:val="28"/>
                <w:lang w:val="uk-UA"/>
              </w:rPr>
              <w:t>8,00</w:t>
            </w:r>
          </w:p>
        </w:tc>
        <w:tc>
          <w:tcPr>
            <w:tcW w:w="1140" w:type="dxa"/>
          </w:tcPr>
          <w:p w:rsidR="005E7792" w:rsidRPr="00E15A6D" w:rsidRDefault="005E7792" w:rsidP="005E7792">
            <w:pPr>
              <w:rPr>
                <w:spacing w:val="0"/>
                <w:sz w:val="28"/>
                <w:szCs w:val="28"/>
                <w:lang w:val="uk-UA"/>
              </w:rPr>
            </w:pPr>
            <w:r w:rsidRPr="00E15A6D">
              <w:rPr>
                <w:spacing w:val="0"/>
                <w:sz w:val="28"/>
                <w:szCs w:val="28"/>
                <w:lang w:val="uk-UA"/>
              </w:rPr>
              <w:t>1,0000</w:t>
            </w:r>
          </w:p>
        </w:tc>
      </w:tr>
      <w:tr w:rsidR="009A05D1" w:rsidRPr="00E15A6D" w:rsidTr="00E15A6D">
        <w:tc>
          <w:tcPr>
            <w:tcW w:w="594" w:type="dxa"/>
          </w:tcPr>
          <w:p w:rsidR="005E7792" w:rsidRPr="00E15A6D" w:rsidRDefault="005E7792" w:rsidP="00E15A6D">
            <w:pPr>
              <w:numPr>
                <w:ilvl w:val="0"/>
                <w:numId w:val="8"/>
              </w:numPr>
              <w:tabs>
                <w:tab w:val="clear" w:pos="720"/>
                <w:tab w:val="num" w:pos="0"/>
              </w:tabs>
              <w:ind w:left="0" w:firstLine="0"/>
              <w:rPr>
                <w:spacing w:val="0"/>
                <w:sz w:val="28"/>
                <w:szCs w:val="28"/>
                <w:lang w:val="uk-UA"/>
              </w:rPr>
            </w:pPr>
          </w:p>
        </w:tc>
        <w:tc>
          <w:tcPr>
            <w:tcW w:w="6786" w:type="dxa"/>
          </w:tcPr>
          <w:p w:rsidR="005E7792" w:rsidRPr="00E15A6D" w:rsidRDefault="005E7792" w:rsidP="005E7792">
            <w:pPr>
              <w:rPr>
                <w:spacing w:val="0"/>
                <w:sz w:val="28"/>
                <w:szCs w:val="28"/>
                <w:lang w:val="uk-UA"/>
              </w:rPr>
            </w:pPr>
            <w:r w:rsidRPr="00E15A6D">
              <w:rPr>
                <w:spacing w:val="0"/>
                <w:sz w:val="28"/>
                <w:szCs w:val="28"/>
                <w:lang w:val="uk-UA"/>
              </w:rPr>
              <w:t xml:space="preserve">ВАТ «Центренерго» (CEEN) </w:t>
            </w:r>
          </w:p>
        </w:tc>
        <w:tc>
          <w:tcPr>
            <w:tcW w:w="846" w:type="dxa"/>
          </w:tcPr>
          <w:p w:rsidR="005E7792" w:rsidRPr="00E15A6D" w:rsidRDefault="005E7792" w:rsidP="005E7792">
            <w:pPr>
              <w:rPr>
                <w:spacing w:val="0"/>
                <w:sz w:val="28"/>
                <w:szCs w:val="28"/>
                <w:lang w:val="uk-UA"/>
              </w:rPr>
            </w:pPr>
            <w:r w:rsidRPr="00E15A6D">
              <w:rPr>
                <w:spacing w:val="0"/>
                <w:sz w:val="28"/>
                <w:szCs w:val="28"/>
                <w:lang w:val="uk-UA"/>
              </w:rPr>
              <w:t>21,71</w:t>
            </w:r>
          </w:p>
        </w:tc>
        <w:tc>
          <w:tcPr>
            <w:tcW w:w="1140" w:type="dxa"/>
          </w:tcPr>
          <w:p w:rsidR="005E7792" w:rsidRPr="00E15A6D" w:rsidRDefault="005E7792" w:rsidP="005E7792">
            <w:pPr>
              <w:rPr>
                <w:spacing w:val="0"/>
                <w:sz w:val="28"/>
                <w:szCs w:val="28"/>
                <w:lang w:val="uk-UA"/>
              </w:rPr>
            </w:pPr>
            <w:r w:rsidRPr="00E15A6D">
              <w:rPr>
                <w:spacing w:val="0"/>
                <w:sz w:val="28"/>
                <w:szCs w:val="28"/>
                <w:lang w:val="uk-UA"/>
              </w:rPr>
              <w:t>1,0000</w:t>
            </w:r>
          </w:p>
        </w:tc>
      </w:tr>
      <w:tr w:rsidR="009A05D1" w:rsidRPr="00E15A6D" w:rsidTr="00E15A6D">
        <w:tc>
          <w:tcPr>
            <w:tcW w:w="594" w:type="dxa"/>
          </w:tcPr>
          <w:p w:rsidR="005E7792" w:rsidRPr="00E15A6D" w:rsidRDefault="005E7792" w:rsidP="00E15A6D">
            <w:pPr>
              <w:numPr>
                <w:ilvl w:val="0"/>
                <w:numId w:val="8"/>
              </w:numPr>
              <w:tabs>
                <w:tab w:val="clear" w:pos="720"/>
                <w:tab w:val="num" w:pos="0"/>
              </w:tabs>
              <w:ind w:left="0" w:firstLine="0"/>
              <w:rPr>
                <w:spacing w:val="0"/>
                <w:sz w:val="28"/>
                <w:szCs w:val="28"/>
                <w:lang w:val="uk-UA"/>
              </w:rPr>
            </w:pPr>
          </w:p>
        </w:tc>
        <w:tc>
          <w:tcPr>
            <w:tcW w:w="6786" w:type="dxa"/>
          </w:tcPr>
          <w:p w:rsidR="005E7792" w:rsidRPr="00E15A6D" w:rsidRDefault="005E7792" w:rsidP="005E7792">
            <w:pPr>
              <w:rPr>
                <w:spacing w:val="0"/>
                <w:sz w:val="28"/>
                <w:szCs w:val="28"/>
                <w:lang w:val="uk-UA"/>
              </w:rPr>
            </w:pPr>
            <w:r w:rsidRPr="00E15A6D">
              <w:rPr>
                <w:spacing w:val="0"/>
                <w:sz w:val="28"/>
                <w:szCs w:val="28"/>
                <w:lang w:val="uk-UA"/>
              </w:rPr>
              <w:t xml:space="preserve">ВАТ «Дніпроенерго» (DNEN) </w:t>
            </w:r>
          </w:p>
        </w:tc>
        <w:tc>
          <w:tcPr>
            <w:tcW w:w="846" w:type="dxa"/>
          </w:tcPr>
          <w:p w:rsidR="005E7792" w:rsidRPr="00E15A6D" w:rsidRDefault="005E7792" w:rsidP="005E7792">
            <w:pPr>
              <w:rPr>
                <w:spacing w:val="0"/>
                <w:sz w:val="28"/>
                <w:szCs w:val="28"/>
                <w:lang w:val="uk-UA"/>
              </w:rPr>
            </w:pPr>
            <w:r w:rsidRPr="00E15A6D">
              <w:rPr>
                <w:spacing w:val="0"/>
                <w:sz w:val="28"/>
                <w:szCs w:val="28"/>
                <w:lang w:val="uk-UA"/>
              </w:rPr>
              <w:t>8,70</w:t>
            </w:r>
          </w:p>
        </w:tc>
        <w:tc>
          <w:tcPr>
            <w:tcW w:w="1140" w:type="dxa"/>
          </w:tcPr>
          <w:p w:rsidR="005E7792" w:rsidRPr="00E15A6D" w:rsidRDefault="005E7792" w:rsidP="005E7792">
            <w:pPr>
              <w:rPr>
                <w:spacing w:val="0"/>
                <w:sz w:val="28"/>
                <w:szCs w:val="28"/>
                <w:lang w:val="uk-UA"/>
              </w:rPr>
            </w:pPr>
            <w:r w:rsidRPr="00E15A6D">
              <w:rPr>
                <w:spacing w:val="0"/>
                <w:sz w:val="28"/>
                <w:szCs w:val="28"/>
                <w:lang w:val="uk-UA"/>
              </w:rPr>
              <w:t>1,0000</w:t>
            </w:r>
          </w:p>
        </w:tc>
      </w:tr>
      <w:tr w:rsidR="009A05D1" w:rsidRPr="00E15A6D" w:rsidTr="00E15A6D">
        <w:tc>
          <w:tcPr>
            <w:tcW w:w="594" w:type="dxa"/>
          </w:tcPr>
          <w:p w:rsidR="005E7792" w:rsidRPr="00E15A6D" w:rsidRDefault="005E7792" w:rsidP="00E15A6D">
            <w:pPr>
              <w:numPr>
                <w:ilvl w:val="0"/>
                <w:numId w:val="8"/>
              </w:numPr>
              <w:tabs>
                <w:tab w:val="clear" w:pos="720"/>
                <w:tab w:val="num" w:pos="0"/>
              </w:tabs>
              <w:ind w:left="0" w:firstLine="0"/>
              <w:rPr>
                <w:spacing w:val="0"/>
                <w:sz w:val="28"/>
                <w:szCs w:val="28"/>
                <w:lang w:val="uk-UA"/>
              </w:rPr>
            </w:pPr>
          </w:p>
        </w:tc>
        <w:tc>
          <w:tcPr>
            <w:tcW w:w="6786" w:type="dxa"/>
          </w:tcPr>
          <w:p w:rsidR="005E7792" w:rsidRPr="00E15A6D" w:rsidRDefault="005E7792" w:rsidP="005E7792">
            <w:pPr>
              <w:rPr>
                <w:spacing w:val="0"/>
                <w:sz w:val="28"/>
                <w:szCs w:val="28"/>
                <w:lang w:val="uk-UA"/>
              </w:rPr>
            </w:pPr>
            <w:r w:rsidRPr="00E15A6D">
              <w:rPr>
                <w:spacing w:val="0"/>
                <w:sz w:val="28"/>
                <w:szCs w:val="28"/>
                <w:lang w:val="uk-UA"/>
              </w:rPr>
              <w:t xml:space="preserve">ВАТ «Київенерго» (KIEN) </w:t>
            </w:r>
          </w:p>
        </w:tc>
        <w:tc>
          <w:tcPr>
            <w:tcW w:w="846" w:type="dxa"/>
          </w:tcPr>
          <w:p w:rsidR="005E7792" w:rsidRPr="00E15A6D" w:rsidRDefault="005E7792" w:rsidP="005E7792">
            <w:pPr>
              <w:rPr>
                <w:spacing w:val="0"/>
                <w:sz w:val="28"/>
                <w:szCs w:val="28"/>
                <w:lang w:val="uk-UA"/>
              </w:rPr>
            </w:pPr>
            <w:r w:rsidRPr="00E15A6D">
              <w:rPr>
                <w:spacing w:val="0"/>
                <w:sz w:val="28"/>
                <w:szCs w:val="28"/>
                <w:lang w:val="uk-UA"/>
              </w:rPr>
              <w:t>9,30</w:t>
            </w:r>
          </w:p>
        </w:tc>
        <w:tc>
          <w:tcPr>
            <w:tcW w:w="1140" w:type="dxa"/>
          </w:tcPr>
          <w:p w:rsidR="005E7792" w:rsidRPr="00E15A6D" w:rsidRDefault="005E7792" w:rsidP="005E7792">
            <w:pPr>
              <w:rPr>
                <w:spacing w:val="0"/>
                <w:sz w:val="28"/>
                <w:szCs w:val="28"/>
                <w:lang w:val="uk-UA"/>
              </w:rPr>
            </w:pPr>
            <w:r w:rsidRPr="00E15A6D">
              <w:rPr>
                <w:spacing w:val="0"/>
                <w:sz w:val="28"/>
                <w:szCs w:val="28"/>
                <w:lang w:val="uk-UA"/>
              </w:rPr>
              <w:t>1,0000</w:t>
            </w:r>
          </w:p>
        </w:tc>
      </w:tr>
      <w:tr w:rsidR="009A05D1" w:rsidRPr="00E15A6D" w:rsidTr="00E15A6D">
        <w:tc>
          <w:tcPr>
            <w:tcW w:w="594" w:type="dxa"/>
          </w:tcPr>
          <w:p w:rsidR="005E7792" w:rsidRPr="00E15A6D" w:rsidRDefault="005E7792" w:rsidP="00E15A6D">
            <w:pPr>
              <w:numPr>
                <w:ilvl w:val="0"/>
                <w:numId w:val="8"/>
              </w:numPr>
              <w:tabs>
                <w:tab w:val="clear" w:pos="720"/>
                <w:tab w:val="num" w:pos="0"/>
              </w:tabs>
              <w:ind w:left="0" w:firstLine="0"/>
              <w:rPr>
                <w:spacing w:val="0"/>
                <w:sz w:val="28"/>
                <w:szCs w:val="28"/>
                <w:lang w:val="uk-UA"/>
              </w:rPr>
            </w:pPr>
          </w:p>
        </w:tc>
        <w:tc>
          <w:tcPr>
            <w:tcW w:w="6786" w:type="dxa"/>
          </w:tcPr>
          <w:p w:rsidR="005E7792" w:rsidRPr="00E15A6D" w:rsidRDefault="005E7792" w:rsidP="005E7792">
            <w:pPr>
              <w:rPr>
                <w:spacing w:val="0"/>
                <w:sz w:val="28"/>
                <w:szCs w:val="28"/>
                <w:lang w:val="uk-UA"/>
              </w:rPr>
            </w:pPr>
            <w:r w:rsidRPr="00E15A6D">
              <w:rPr>
                <w:spacing w:val="0"/>
                <w:sz w:val="28"/>
                <w:szCs w:val="28"/>
                <w:lang w:val="uk-UA"/>
              </w:rPr>
              <w:t xml:space="preserve">ВАТ «Західенерго» (ZAEN) </w:t>
            </w:r>
          </w:p>
        </w:tc>
        <w:tc>
          <w:tcPr>
            <w:tcW w:w="846" w:type="dxa"/>
          </w:tcPr>
          <w:p w:rsidR="005E7792" w:rsidRPr="00E15A6D" w:rsidRDefault="005E7792" w:rsidP="005E7792">
            <w:pPr>
              <w:rPr>
                <w:spacing w:val="0"/>
                <w:sz w:val="28"/>
                <w:szCs w:val="28"/>
                <w:lang w:val="uk-UA"/>
              </w:rPr>
            </w:pPr>
            <w:r w:rsidRPr="00E15A6D">
              <w:rPr>
                <w:spacing w:val="0"/>
                <w:sz w:val="28"/>
                <w:szCs w:val="28"/>
                <w:lang w:val="uk-UA"/>
              </w:rPr>
              <w:t>29,89</w:t>
            </w:r>
          </w:p>
        </w:tc>
        <w:tc>
          <w:tcPr>
            <w:tcW w:w="1140" w:type="dxa"/>
          </w:tcPr>
          <w:p w:rsidR="005E7792" w:rsidRPr="00E15A6D" w:rsidRDefault="005E7792" w:rsidP="005E7792">
            <w:pPr>
              <w:rPr>
                <w:spacing w:val="0"/>
                <w:sz w:val="28"/>
                <w:szCs w:val="28"/>
                <w:lang w:val="uk-UA"/>
              </w:rPr>
            </w:pPr>
            <w:r w:rsidRPr="00E15A6D">
              <w:rPr>
                <w:spacing w:val="0"/>
                <w:sz w:val="28"/>
                <w:szCs w:val="28"/>
                <w:lang w:val="uk-UA"/>
              </w:rPr>
              <w:t>0,4010</w:t>
            </w:r>
          </w:p>
        </w:tc>
      </w:tr>
      <w:tr w:rsidR="009A05D1" w:rsidRPr="00E15A6D" w:rsidTr="00E15A6D">
        <w:tc>
          <w:tcPr>
            <w:tcW w:w="594" w:type="dxa"/>
          </w:tcPr>
          <w:p w:rsidR="005E7792" w:rsidRPr="00E15A6D" w:rsidRDefault="005E7792" w:rsidP="00E15A6D">
            <w:pPr>
              <w:numPr>
                <w:ilvl w:val="0"/>
                <w:numId w:val="8"/>
              </w:numPr>
              <w:tabs>
                <w:tab w:val="clear" w:pos="720"/>
                <w:tab w:val="num" w:pos="0"/>
              </w:tabs>
              <w:ind w:left="0" w:firstLine="0"/>
              <w:rPr>
                <w:spacing w:val="0"/>
                <w:sz w:val="28"/>
                <w:szCs w:val="28"/>
                <w:lang w:val="uk-UA"/>
              </w:rPr>
            </w:pPr>
          </w:p>
        </w:tc>
        <w:tc>
          <w:tcPr>
            <w:tcW w:w="6786" w:type="dxa"/>
          </w:tcPr>
          <w:p w:rsidR="005E7792" w:rsidRPr="00E15A6D" w:rsidRDefault="005E7792" w:rsidP="005E7792">
            <w:pPr>
              <w:rPr>
                <w:spacing w:val="0"/>
                <w:sz w:val="28"/>
                <w:szCs w:val="28"/>
                <w:lang w:val="uk-UA"/>
              </w:rPr>
            </w:pPr>
            <w:r w:rsidRPr="00E15A6D">
              <w:rPr>
                <w:spacing w:val="0"/>
                <w:sz w:val="28"/>
                <w:szCs w:val="28"/>
                <w:lang w:val="uk-UA"/>
              </w:rPr>
              <w:t xml:space="preserve">ВАТ «Укртелеком» (UTEL) </w:t>
            </w:r>
          </w:p>
        </w:tc>
        <w:tc>
          <w:tcPr>
            <w:tcW w:w="846" w:type="dxa"/>
          </w:tcPr>
          <w:p w:rsidR="005E7792" w:rsidRPr="00E15A6D" w:rsidRDefault="005E7792" w:rsidP="005E7792">
            <w:pPr>
              <w:rPr>
                <w:spacing w:val="0"/>
                <w:sz w:val="28"/>
                <w:szCs w:val="28"/>
                <w:lang w:val="uk-UA"/>
              </w:rPr>
            </w:pPr>
            <w:r w:rsidRPr="00E15A6D">
              <w:rPr>
                <w:spacing w:val="0"/>
                <w:sz w:val="28"/>
                <w:szCs w:val="28"/>
                <w:lang w:val="uk-UA"/>
              </w:rPr>
              <w:t>7,14</w:t>
            </w:r>
          </w:p>
        </w:tc>
        <w:tc>
          <w:tcPr>
            <w:tcW w:w="1140" w:type="dxa"/>
          </w:tcPr>
          <w:p w:rsidR="005E7792" w:rsidRPr="00E15A6D" w:rsidRDefault="005E7792" w:rsidP="005E7792">
            <w:pPr>
              <w:rPr>
                <w:spacing w:val="0"/>
                <w:sz w:val="28"/>
                <w:szCs w:val="28"/>
                <w:lang w:val="uk-UA"/>
              </w:rPr>
            </w:pPr>
            <w:r w:rsidRPr="00E15A6D">
              <w:rPr>
                <w:spacing w:val="0"/>
                <w:sz w:val="28"/>
                <w:szCs w:val="28"/>
                <w:lang w:val="uk-UA"/>
              </w:rPr>
              <w:t>1,0000</w:t>
            </w:r>
          </w:p>
        </w:tc>
      </w:tr>
      <w:tr w:rsidR="009A05D1" w:rsidRPr="00E15A6D" w:rsidTr="00E15A6D">
        <w:tc>
          <w:tcPr>
            <w:tcW w:w="594" w:type="dxa"/>
          </w:tcPr>
          <w:p w:rsidR="005E7792" w:rsidRPr="00E15A6D" w:rsidRDefault="005E7792" w:rsidP="00E15A6D">
            <w:pPr>
              <w:numPr>
                <w:ilvl w:val="0"/>
                <w:numId w:val="8"/>
              </w:numPr>
              <w:tabs>
                <w:tab w:val="clear" w:pos="720"/>
                <w:tab w:val="num" w:pos="0"/>
              </w:tabs>
              <w:ind w:left="0" w:firstLine="0"/>
              <w:rPr>
                <w:spacing w:val="0"/>
                <w:sz w:val="28"/>
                <w:szCs w:val="28"/>
                <w:lang w:val="uk-UA"/>
              </w:rPr>
            </w:pPr>
          </w:p>
        </w:tc>
        <w:tc>
          <w:tcPr>
            <w:tcW w:w="6786" w:type="dxa"/>
          </w:tcPr>
          <w:p w:rsidR="005E7792" w:rsidRPr="00E15A6D" w:rsidRDefault="00F70C29" w:rsidP="005E7792">
            <w:pPr>
              <w:rPr>
                <w:spacing w:val="0"/>
                <w:sz w:val="28"/>
                <w:szCs w:val="28"/>
                <w:lang w:val="uk-UA"/>
              </w:rPr>
            </w:pPr>
            <w:r w:rsidRPr="00E15A6D">
              <w:rPr>
                <w:spacing w:val="0"/>
                <w:sz w:val="28"/>
                <w:szCs w:val="28"/>
                <w:lang w:val="uk-UA"/>
              </w:rPr>
              <w:t xml:space="preserve">ВАТ «ІНТЕРПАЙП Нижньодніпровський трубопрокатний завод» (NITR) </w:t>
            </w:r>
          </w:p>
        </w:tc>
        <w:tc>
          <w:tcPr>
            <w:tcW w:w="846" w:type="dxa"/>
          </w:tcPr>
          <w:p w:rsidR="005E7792" w:rsidRPr="00E15A6D" w:rsidRDefault="005E7792" w:rsidP="005E7792">
            <w:pPr>
              <w:rPr>
                <w:spacing w:val="0"/>
                <w:sz w:val="28"/>
                <w:szCs w:val="28"/>
                <w:lang w:val="uk-UA"/>
              </w:rPr>
            </w:pPr>
            <w:r w:rsidRPr="00E15A6D">
              <w:rPr>
                <w:spacing w:val="0"/>
                <w:sz w:val="28"/>
                <w:szCs w:val="28"/>
                <w:lang w:val="uk-UA"/>
              </w:rPr>
              <w:t>6,10</w:t>
            </w:r>
          </w:p>
        </w:tc>
        <w:tc>
          <w:tcPr>
            <w:tcW w:w="1140" w:type="dxa"/>
          </w:tcPr>
          <w:p w:rsidR="005E7792" w:rsidRPr="00E15A6D" w:rsidRDefault="005E7792" w:rsidP="005E7792">
            <w:pPr>
              <w:rPr>
                <w:spacing w:val="0"/>
                <w:sz w:val="28"/>
                <w:szCs w:val="28"/>
                <w:lang w:val="uk-UA"/>
              </w:rPr>
            </w:pPr>
            <w:r w:rsidRPr="00E15A6D">
              <w:rPr>
                <w:spacing w:val="0"/>
                <w:sz w:val="28"/>
                <w:szCs w:val="28"/>
                <w:lang w:val="uk-UA"/>
              </w:rPr>
              <w:t>1,0000</w:t>
            </w:r>
          </w:p>
        </w:tc>
      </w:tr>
      <w:tr w:rsidR="009A05D1" w:rsidRPr="00E15A6D" w:rsidTr="00E15A6D">
        <w:tc>
          <w:tcPr>
            <w:tcW w:w="594" w:type="dxa"/>
          </w:tcPr>
          <w:p w:rsidR="005E7792" w:rsidRPr="00E15A6D" w:rsidRDefault="005E7792" w:rsidP="00E15A6D">
            <w:pPr>
              <w:numPr>
                <w:ilvl w:val="0"/>
                <w:numId w:val="8"/>
              </w:numPr>
              <w:tabs>
                <w:tab w:val="clear" w:pos="720"/>
                <w:tab w:val="num" w:pos="0"/>
              </w:tabs>
              <w:ind w:left="0" w:firstLine="0"/>
              <w:rPr>
                <w:spacing w:val="0"/>
                <w:sz w:val="28"/>
                <w:szCs w:val="28"/>
                <w:lang w:val="uk-UA"/>
              </w:rPr>
            </w:pPr>
          </w:p>
        </w:tc>
        <w:tc>
          <w:tcPr>
            <w:tcW w:w="6786" w:type="dxa"/>
          </w:tcPr>
          <w:p w:rsidR="005E7792" w:rsidRPr="00E15A6D" w:rsidRDefault="005E7792" w:rsidP="005E7792">
            <w:pPr>
              <w:rPr>
                <w:spacing w:val="0"/>
                <w:sz w:val="28"/>
                <w:szCs w:val="28"/>
                <w:lang w:val="uk-UA"/>
              </w:rPr>
            </w:pPr>
            <w:r w:rsidRPr="00E15A6D">
              <w:rPr>
                <w:spacing w:val="0"/>
                <w:sz w:val="28"/>
                <w:szCs w:val="28"/>
                <w:lang w:val="uk-UA"/>
              </w:rPr>
              <w:t xml:space="preserve">ВАТ «Концерн Стирол» (STIR) </w:t>
            </w:r>
          </w:p>
        </w:tc>
        <w:tc>
          <w:tcPr>
            <w:tcW w:w="846" w:type="dxa"/>
          </w:tcPr>
          <w:p w:rsidR="005E7792" w:rsidRPr="00E15A6D" w:rsidRDefault="005E7792" w:rsidP="005E7792">
            <w:pPr>
              <w:rPr>
                <w:spacing w:val="0"/>
                <w:sz w:val="28"/>
                <w:szCs w:val="28"/>
                <w:lang w:val="uk-UA"/>
              </w:rPr>
            </w:pPr>
            <w:r w:rsidRPr="00E15A6D">
              <w:rPr>
                <w:spacing w:val="0"/>
                <w:sz w:val="28"/>
                <w:szCs w:val="28"/>
                <w:lang w:val="uk-UA"/>
              </w:rPr>
              <w:t>9,61</w:t>
            </w:r>
          </w:p>
        </w:tc>
        <w:tc>
          <w:tcPr>
            <w:tcW w:w="1140" w:type="dxa"/>
          </w:tcPr>
          <w:p w:rsidR="005E7792" w:rsidRPr="00E15A6D" w:rsidRDefault="005E7792" w:rsidP="005E7792">
            <w:pPr>
              <w:rPr>
                <w:spacing w:val="0"/>
                <w:sz w:val="28"/>
                <w:szCs w:val="28"/>
                <w:lang w:val="uk-UA"/>
              </w:rPr>
            </w:pPr>
            <w:r w:rsidRPr="00E15A6D">
              <w:rPr>
                <w:spacing w:val="0"/>
                <w:sz w:val="28"/>
                <w:szCs w:val="28"/>
                <w:lang w:val="uk-UA"/>
              </w:rPr>
              <w:t>1,0000</w:t>
            </w:r>
          </w:p>
        </w:tc>
      </w:tr>
      <w:tr w:rsidR="009A05D1" w:rsidRPr="00E15A6D" w:rsidTr="00E15A6D">
        <w:trPr>
          <w:trHeight w:val="265"/>
        </w:trPr>
        <w:tc>
          <w:tcPr>
            <w:tcW w:w="594" w:type="dxa"/>
          </w:tcPr>
          <w:p w:rsidR="005E7792" w:rsidRPr="00E15A6D" w:rsidRDefault="005E7792" w:rsidP="00E15A6D">
            <w:pPr>
              <w:numPr>
                <w:ilvl w:val="0"/>
                <w:numId w:val="8"/>
              </w:numPr>
              <w:tabs>
                <w:tab w:val="clear" w:pos="720"/>
                <w:tab w:val="num" w:pos="0"/>
              </w:tabs>
              <w:ind w:left="0" w:firstLine="0"/>
              <w:rPr>
                <w:spacing w:val="0"/>
                <w:sz w:val="28"/>
                <w:szCs w:val="28"/>
                <w:lang w:val="uk-UA"/>
              </w:rPr>
            </w:pPr>
          </w:p>
        </w:tc>
        <w:tc>
          <w:tcPr>
            <w:tcW w:w="6786" w:type="dxa"/>
          </w:tcPr>
          <w:p w:rsidR="005E7792" w:rsidRPr="00E15A6D" w:rsidRDefault="005E7792" w:rsidP="005E7792">
            <w:pPr>
              <w:rPr>
                <w:spacing w:val="0"/>
                <w:sz w:val="28"/>
                <w:szCs w:val="28"/>
                <w:lang w:val="uk-UA"/>
              </w:rPr>
            </w:pPr>
            <w:r w:rsidRPr="00E15A6D">
              <w:rPr>
                <w:spacing w:val="0"/>
                <w:sz w:val="28"/>
                <w:szCs w:val="28"/>
                <w:lang w:val="uk-UA"/>
              </w:rPr>
              <w:t xml:space="preserve">ВАТ «Полтавський ГЗК» (PGOK) </w:t>
            </w:r>
          </w:p>
        </w:tc>
        <w:tc>
          <w:tcPr>
            <w:tcW w:w="846" w:type="dxa"/>
          </w:tcPr>
          <w:p w:rsidR="005E7792" w:rsidRPr="00E15A6D" w:rsidRDefault="005E7792" w:rsidP="005E7792">
            <w:pPr>
              <w:rPr>
                <w:spacing w:val="0"/>
                <w:sz w:val="28"/>
                <w:szCs w:val="28"/>
                <w:lang w:val="uk-UA"/>
              </w:rPr>
            </w:pPr>
            <w:r w:rsidRPr="00E15A6D">
              <w:rPr>
                <w:spacing w:val="0"/>
                <w:sz w:val="28"/>
                <w:szCs w:val="28"/>
                <w:lang w:val="uk-UA"/>
              </w:rPr>
              <w:t>2,57</w:t>
            </w:r>
          </w:p>
        </w:tc>
        <w:tc>
          <w:tcPr>
            <w:tcW w:w="1140" w:type="dxa"/>
          </w:tcPr>
          <w:p w:rsidR="005E7792" w:rsidRPr="00E15A6D" w:rsidRDefault="005E7792" w:rsidP="005E7792">
            <w:pPr>
              <w:rPr>
                <w:spacing w:val="0"/>
                <w:sz w:val="28"/>
                <w:szCs w:val="28"/>
                <w:lang w:val="uk-UA"/>
              </w:rPr>
            </w:pPr>
            <w:r w:rsidRPr="00E15A6D">
              <w:rPr>
                <w:spacing w:val="0"/>
                <w:sz w:val="28"/>
                <w:szCs w:val="28"/>
                <w:lang w:val="uk-UA"/>
              </w:rPr>
              <w:t>1,0000</w:t>
            </w:r>
          </w:p>
        </w:tc>
      </w:tr>
      <w:bookmarkEnd w:id="0"/>
    </w:tbl>
    <w:p w:rsidR="005E7792" w:rsidRPr="007E0AC1" w:rsidRDefault="005E7792" w:rsidP="00DC17CD">
      <w:pPr>
        <w:outlineLvl w:val="1"/>
        <w:rPr>
          <w:b/>
          <w:bCs/>
          <w:color w:val="000000"/>
          <w:spacing w:val="0"/>
          <w:sz w:val="28"/>
          <w:szCs w:val="28"/>
          <w:lang w:val="uk-UA"/>
        </w:rPr>
      </w:pPr>
    </w:p>
    <w:p w:rsidR="00C80E0D" w:rsidRPr="007E0AC1" w:rsidRDefault="00C80E0D" w:rsidP="00C77905">
      <w:pPr>
        <w:autoSpaceDE w:val="0"/>
        <w:autoSpaceDN w:val="0"/>
        <w:adjustRightInd w:val="0"/>
        <w:ind w:firstLine="720"/>
        <w:jc w:val="both"/>
        <w:rPr>
          <w:spacing w:val="0"/>
          <w:sz w:val="28"/>
          <w:szCs w:val="28"/>
          <w:lang w:val="uk-UA"/>
        </w:rPr>
      </w:pPr>
      <w:r w:rsidRPr="007E0AC1">
        <w:rPr>
          <w:spacing w:val="0"/>
          <w:sz w:val="28"/>
          <w:szCs w:val="28"/>
          <w:lang w:val="uk-UA"/>
        </w:rPr>
        <w:t>При розрахунку індексу використовується кількість цінних паперів у</w:t>
      </w:r>
      <w:r w:rsidR="00DC517C" w:rsidRPr="007E0AC1">
        <w:rPr>
          <w:spacing w:val="0"/>
          <w:sz w:val="28"/>
          <w:szCs w:val="28"/>
          <w:lang w:val="uk-UA"/>
        </w:rPr>
        <w:t xml:space="preserve"> </w:t>
      </w:r>
      <w:r w:rsidRPr="007E0AC1">
        <w:rPr>
          <w:spacing w:val="0"/>
          <w:sz w:val="28"/>
          <w:szCs w:val="28"/>
          <w:lang w:val="uk-UA"/>
        </w:rPr>
        <w:t>випусках відповідних акцій, які вільно обертаються на організованому ринку цінних</w:t>
      </w:r>
      <w:r w:rsidR="000073CD" w:rsidRPr="007E0AC1">
        <w:rPr>
          <w:spacing w:val="0"/>
          <w:sz w:val="28"/>
          <w:szCs w:val="28"/>
          <w:lang w:val="uk-UA"/>
        </w:rPr>
        <w:t xml:space="preserve"> </w:t>
      </w:r>
      <w:r w:rsidRPr="007E0AC1">
        <w:rPr>
          <w:spacing w:val="0"/>
          <w:sz w:val="28"/>
          <w:szCs w:val="28"/>
          <w:lang w:val="uk-UA"/>
        </w:rPr>
        <w:t>паперів, що дорівнює частці акціонерного капіталу емітента, розмір якої визначається</w:t>
      </w:r>
      <w:r w:rsidR="00DC517C" w:rsidRPr="007E0AC1">
        <w:rPr>
          <w:spacing w:val="0"/>
          <w:sz w:val="28"/>
          <w:szCs w:val="28"/>
          <w:lang w:val="uk-UA"/>
        </w:rPr>
        <w:t xml:space="preserve"> </w:t>
      </w:r>
      <w:r w:rsidRPr="007E0AC1">
        <w:rPr>
          <w:spacing w:val="0"/>
          <w:sz w:val="28"/>
          <w:szCs w:val="28"/>
          <w:lang w:val="uk-UA"/>
        </w:rPr>
        <w:t>коефіцієнтом free-float.</w:t>
      </w:r>
      <w:r w:rsidR="00DC517C" w:rsidRPr="007E0AC1">
        <w:rPr>
          <w:spacing w:val="0"/>
          <w:sz w:val="28"/>
          <w:szCs w:val="28"/>
          <w:lang w:val="uk-UA"/>
        </w:rPr>
        <w:t xml:space="preserve"> </w:t>
      </w:r>
      <w:r w:rsidRPr="007E0AC1">
        <w:rPr>
          <w:spacing w:val="0"/>
          <w:sz w:val="28"/>
          <w:szCs w:val="28"/>
          <w:lang w:val="uk-UA"/>
        </w:rPr>
        <w:t>Визначення значень</w:t>
      </w:r>
      <w:r w:rsidR="00DC517C" w:rsidRPr="007E0AC1">
        <w:rPr>
          <w:spacing w:val="0"/>
          <w:sz w:val="28"/>
          <w:szCs w:val="28"/>
          <w:lang w:val="uk-UA"/>
        </w:rPr>
        <w:t xml:space="preserve"> </w:t>
      </w:r>
      <w:r w:rsidRPr="007E0AC1">
        <w:rPr>
          <w:spacing w:val="0"/>
          <w:sz w:val="28"/>
          <w:szCs w:val="28"/>
          <w:lang w:val="uk-UA"/>
        </w:rPr>
        <w:t>коефіцієнта free-float Індексним комітетом базується на експертній оцінці, що передбачає</w:t>
      </w:r>
      <w:r w:rsidR="00DC517C" w:rsidRPr="007E0AC1">
        <w:rPr>
          <w:spacing w:val="0"/>
          <w:sz w:val="28"/>
          <w:szCs w:val="28"/>
          <w:lang w:val="uk-UA"/>
        </w:rPr>
        <w:t xml:space="preserve"> </w:t>
      </w:r>
      <w:r w:rsidRPr="007E0AC1">
        <w:rPr>
          <w:spacing w:val="0"/>
          <w:sz w:val="28"/>
          <w:szCs w:val="28"/>
          <w:lang w:val="uk-UA"/>
        </w:rPr>
        <w:t>виключення з акціонерного капіт</w:t>
      </w:r>
      <w:r w:rsidR="00DC517C" w:rsidRPr="007E0AC1">
        <w:rPr>
          <w:spacing w:val="0"/>
          <w:sz w:val="28"/>
          <w:szCs w:val="28"/>
          <w:lang w:val="uk-UA"/>
        </w:rPr>
        <w:t>алу емітента</w:t>
      </w:r>
      <w:r w:rsidRPr="007E0AC1">
        <w:rPr>
          <w:spacing w:val="0"/>
          <w:sz w:val="28"/>
          <w:szCs w:val="28"/>
          <w:lang w:val="uk-UA"/>
        </w:rPr>
        <w:t>:</w:t>
      </w:r>
      <w:r w:rsidR="00DC517C" w:rsidRPr="007E0AC1">
        <w:rPr>
          <w:spacing w:val="0"/>
          <w:sz w:val="28"/>
          <w:szCs w:val="28"/>
          <w:lang w:val="uk-UA"/>
        </w:rPr>
        <w:t xml:space="preserve"> кількості</w:t>
      </w:r>
      <w:r w:rsidRPr="007E0AC1">
        <w:rPr>
          <w:spacing w:val="0"/>
          <w:sz w:val="28"/>
          <w:szCs w:val="28"/>
          <w:lang w:val="uk-UA"/>
        </w:rPr>
        <w:t xml:space="preserve"> акцій, що знаходяться</w:t>
      </w:r>
      <w:r w:rsidR="00DC517C" w:rsidRPr="007E0AC1">
        <w:rPr>
          <w:spacing w:val="0"/>
          <w:sz w:val="28"/>
          <w:szCs w:val="28"/>
          <w:lang w:val="uk-UA"/>
        </w:rPr>
        <w:t>:</w:t>
      </w:r>
      <w:r w:rsidRPr="007E0AC1">
        <w:rPr>
          <w:spacing w:val="0"/>
          <w:sz w:val="28"/>
          <w:szCs w:val="28"/>
          <w:lang w:val="uk-UA"/>
        </w:rPr>
        <w:t xml:space="preserve"> у державній власності</w:t>
      </w:r>
      <w:r w:rsidR="00DC517C" w:rsidRPr="007E0AC1">
        <w:rPr>
          <w:spacing w:val="0"/>
          <w:sz w:val="28"/>
          <w:szCs w:val="28"/>
          <w:lang w:val="uk-UA"/>
        </w:rPr>
        <w:t>, у власності емітента,</w:t>
      </w:r>
      <w:r w:rsidRPr="007E0AC1">
        <w:rPr>
          <w:spacing w:val="0"/>
          <w:sz w:val="28"/>
          <w:szCs w:val="28"/>
          <w:lang w:val="uk-UA"/>
        </w:rPr>
        <w:t xml:space="preserve"> у власності стратегічних інвесторів</w:t>
      </w:r>
      <w:r w:rsidR="00DC517C" w:rsidRPr="007E0AC1">
        <w:rPr>
          <w:spacing w:val="0"/>
          <w:sz w:val="28"/>
          <w:szCs w:val="28"/>
          <w:lang w:val="uk-UA"/>
        </w:rPr>
        <w:t>,</w:t>
      </w:r>
      <w:r w:rsidRPr="007E0AC1">
        <w:rPr>
          <w:spacing w:val="0"/>
          <w:sz w:val="28"/>
          <w:szCs w:val="28"/>
          <w:lang w:val="uk-UA"/>
        </w:rPr>
        <w:t xml:space="preserve"> у власності менеджменту та трудового</w:t>
      </w:r>
      <w:r w:rsidR="00DC517C" w:rsidRPr="007E0AC1">
        <w:rPr>
          <w:spacing w:val="0"/>
          <w:sz w:val="28"/>
          <w:szCs w:val="28"/>
          <w:lang w:val="uk-UA"/>
        </w:rPr>
        <w:t xml:space="preserve"> </w:t>
      </w:r>
      <w:r w:rsidRPr="007E0AC1">
        <w:rPr>
          <w:spacing w:val="0"/>
          <w:sz w:val="28"/>
          <w:szCs w:val="28"/>
          <w:lang w:val="uk-UA"/>
        </w:rPr>
        <w:t>колективу підприємства</w:t>
      </w:r>
      <w:r w:rsidR="00DC517C" w:rsidRPr="007E0AC1">
        <w:rPr>
          <w:spacing w:val="0"/>
          <w:sz w:val="28"/>
          <w:szCs w:val="28"/>
          <w:lang w:val="uk-UA"/>
        </w:rPr>
        <w:t xml:space="preserve">, </w:t>
      </w:r>
      <w:r w:rsidRPr="007E0AC1">
        <w:rPr>
          <w:spacing w:val="0"/>
          <w:sz w:val="28"/>
          <w:szCs w:val="28"/>
          <w:lang w:val="uk-UA"/>
        </w:rPr>
        <w:t xml:space="preserve"> у перехресному володінні.</w:t>
      </w:r>
    </w:p>
    <w:p w:rsidR="00C77905" w:rsidRPr="007E0AC1" w:rsidRDefault="000073CD" w:rsidP="00C77905">
      <w:pPr>
        <w:autoSpaceDE w:val="0"/>
        <w:autoSpaceDN w:val="0"/>
        <w:adjustRightInd w:val="0"/>
        <w:ind w:firstLine="720"/>
        <w:jc w:val="both"/>
        <w:rPr>
          <w:spacing w:val="0"/>
          <w:sz w:val="28"/>
          <w:szCs w:val="28"/>
          <w:lang w:val="uk-UA"/>
        </w:rPr>
      </w:pPr>
      <w:r w:rsidRPr="007E0AC1">
        <w:rPr>
          <w:rFonts w:eastAsia="Arial Unicode MS"/>
          <w:spacing w:val="0"/>
          <w:sz w:val="28"/>
          <w:szCs w:val="28"/>
          <w:lang w:val="uk-UA"/>
        </w:rPr>
        <w:t xml:space="preserve">Крім бази розрахунку, для індексу формується список акцій, які можуть бути включені до бази розрахунку індексу (лист очікування). До «листа очікування» Індексу ПФТС увійшли акції наступних емітентів: </w:t>
      </w:r>
      <w:r w:rsidRPr="007E0AC1">
        <w:rPr>
          <w:spacing w:val="0"/>
          <w:sz w:val="28"/>
          <w:szCs w:val="28"/>
          <w:lang w:val="uk-UA"/>
        </w:rPr>
        <w:t>Алчевський коксохімічний завод (ALKZ); Українська автомобільна корпорація (AVTO); Дніпропетровський металургійний завод ім. Петровського (DMZP); Дніпрообленерго (DNON); Дніпроспецсталь (DNSS); Донбасенерго (DOEN); Дружківський машинобудівний завод (DRMZ); Крименерго (KREN); ЛуАЗ (LUAZ); Південний ГЗК (PGZK); Шахта «Красноармійська-Західна №1» (SHCHZ); Шахта «Комсомолець Донбасy» (SHKD); Запорізький завод феросплавів (ZFER); Запоріжсталь (ZPST)</w:t>
      </w:r>
      <w:r w:rsidR="00C77905" w:rsidRPr="007E0AC1">
        <w:rPr>
          <w:spacing w:val="0"/>
          <w:sz w:val="28"/>
          <w:szCs w:val="28"/>
          <w:lang w:val="uk-UA"/>
        </w:rPr>
        <w:t>.</w:t>
      </w:r>
    </w:p>
    <w:p w:rsidR="00F70C29" w:rsidRPr="007E0AC1" w:rsidRDefault="00F70C29" w:rsidP="00C77905">
      <w:pPr>
        <w:autoSpaceDE w:val="0"/>
        <w:autoSpaceDN w:val="0"/>
        <w:adjustRightInd w:val="0"/>
        <w:ind w:firstLine="720"/>
        <w:jc w:val="both"/>
        <w:rPr>
          <w:spacing w:val="0"/>
          <w:sz w:val="28"/>
          <w:szCs w:val="28"/>
          <w:lang w:val="uk-UA"/>
        </w:rPr>
      </w:pPr>
      <w:r w:rsidRPr="007E0AC1">
        <w:rPr>
          <w:spacing w:val="0"/>
          <w:sz w:val="28"/>
          <w:szCs w:val="28"/>
          <w:lang w:val="uk-UA"/>
        </w:rPr>
        <w:t xml:space="preserve">Структуру індексу ПФТС станом на </w:t>
      </w:r>
      <w:r w:rsidR="00C3244F">
        <w:rPr>
          <w:spacing w:val="0"/>
          <w:sz w:val="28"/>
          <w:szCs w:val="28"/>
          <w:lang w:val="uk-UA"/>
        </w:rPr>
        <w:t>02.03.2009 р. наведено на рис. 3</w:t>
      </w:r>
      <w:r w:rsidRPr="007E0AC1">
        <w:rPr>
          <w:spacing w:val="0"/>
          <w:sz w:val="28"/>
          <w:szCs w:val="28"/>
          <w:lang w:val="uk-UA"/>
        </w:rPr>
        <w:t xml:space="preserve">. </w:t>
      </w:r>
    </w:p>
    <w:p w:rsidR="00F70C29" w:rsidRPr="007E0AC1" w:rsidRDefault="00F70C29" w:rsidP="00C77905">
      <w:pPr>
        <w:autoSpaceDE w:val="0"/>
        <w:autoSpaceDN w:val="0"/>
        <w:adjustRightInd w:val="0"/>
        <w:ind w:firstLine="720"/>
        <w:jc w:val="both"/>
        <w:rPr>
          <w:spacing w:val="0"/>
          <w:sz w:val="28"/>
          <w:szCs w:val="28"/>
          <w:lang w:val="uk-UA"/>
        </w:rPr>
      </w:pPr>
    </w:p>
    <w:p w:rsidR="00F70C29" w:rsidRPr="007E0AC1" w:rsidRDefault="009A05D1" w:rsidP="007C4CCE">
      <w:pPr>
        <w:autoSpaceDE w:val="0"/>
        <w:autoSpaceDN w:val="0"/>
        <w:adjustRightInd w:val="0"/>
        <w:jc w:val="center"/>
        <w:rPr>
          <w:spacing w:val="0"/>
          <w:sz w:val="28"/>
          <w:szCs w:val="28"/>
          <w:lang w:val="uk-UA"/>
        </w:rPr>
      </w:pPr>
      <w:r>
        <w:rPr>
          <w:noProof/>
          <w:spacing w:val="0"/>
          <w:sz w:val="28"/>
          <w:szCs w:val="28"/>
        </w:rPr>
        <w:drawing>
          <wp:inline distT="0" distB="0" distL="0" distR="0">
            <wp:extent cx="6629400" cy="2750820"/>
            <wp:effectExtent l="0" t="0" r="0" b="0"/>
            <wp:docPr id="3" name="Объект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 w:rsidR="00F70C29" w:rsidRPr="007E0AC1">
        <w:rPr>
          <w:spacing w:val="0"/>
          <w:sz w:val="28"/>
          <w:szCs w:val="28"/>
          <w:lang w:val="uk-UA"/>
        </w:rPr>
        <w:t>Рис</w:t>
      </w:r>
      <w:r w:rsidR="00C3244F">
        <w:rPr>
          <w:spacing w:val="0"/>
          <w:sz w:val="28"/>
          <w:szCs w:val="28"/>
          <w:lang w:val="uk-UA"/>
        </w:rPr>
        <w:t>. 3</w:t>
      </w:r>
      <w:r w:rsidR="00F70C29" w:rsidRPr="007E0AC1">
        <w:rPr>
          <w:spacing w:val="0"/>
          <w:sz w:val="28"/>
          <w:szCs w:val="28"/>
          <w:lang w:val="uk-UA"/>
        </w:rPr>
        <w:t>. Питома вага в індексі ПФТС емітентів акцій</w:t>
      </w:r>
    </w:p>
    <w:p w:rsidR="00F70C29" w:rsidRPr="007E0AC1" w:rsidRDefault="00F70C29" w:rsidP="00F70C29">
      <w:pPr>
        <w:autoSpaceDE w:val="0"/>
        <w:autoSpaceDN w:val="0"/>
        <w:adjustRightInd w:val="0"/>
        <w:ind w:firstLine="720"/>
        <w:jc w:val="both"/>
        <w:rPr>
          <w:spacing w:val="0"/>
          <w:sz w:val="28"/>
          <w:szCs w:val="28"/>
          <w:lang w:val="uk-UA"/>
        </w:rPr>
      </w:pPr>
    </w:p>
    <w:p w:rsidR="002F04B4" w:rsidRPr="007E0AC1" w:rsidRDefault="002F04B4" w:rsidP="002F04B4">
      <w:pPr>
        <w:autoSpaceDE w:val="0"/>
        <w:autoSpaceDN w:val="0"/>
        <w:adjustRightInd w:val="0"/>
        <w:ind w:firstLine="720"/>
        <w:jc w:val="both"/>
        <w:rPr>
          <w:rFonts w:eastAsia="Arial Unicode MS"/>
          <w:spacing w:val="0"/>
          <w:sz w:val="28"/>
          <w:szCs w:val="28"/>
          <w:lang w:val="uk-UA"/>
        </w:rPr>
      </w:pPr>
      <w:r w:rsidRPr="007E0AC1">
        <w:rPr>
          <w:rFonts w:eastAsia="Arial Unicode MS"/>
          <w:spacing w:val="0"/>
          <w:sz w:val="28"/>
          <w:szCs w:val="28"/>
          <w:lang w:val="uk-UA"/>
        </w:rPr>
        <w:lastRenderedPageBreak/>
        <w:t xml:space="preserve">Найбільша питома вага приходиться на </w:t>
      </w:r>
      <w:r w:rsidRPr="007E0AC1">
        <w:rPr>
          <w:spacing w:val="0"/>
          <w:sz w:val="28"/>
          <w:szCs w:val="28"/>
          <w:lang w:val="uk-UA"/>
        </w:rPr>
        <w:t>ВАТ «Західенерго» (ZAEN) – 12,2%, ВАТ «Укрнафта» (UNAF) – 11,69%, ВАТ «Укртелеком» (UTEL) – 11,51%, ВАТ «Центренерго» (CEEN) – 8,78%, ВАТ «ІНТЕРПАЙП Нижньодніпровський трубопрокатний завод» (NITR) – 8,77%, ВАТ «Мотор Січ» (MSICH) – 8,13%.</w:t>
      </w:r>
    </w:p>
    <w:p w:rsidR="00B40479" w:rsidRPr="007E0AC1" w:rsidRDefault="00DC17CD" w:rsidP="00C77905">
      <w:pPr>
        <w:autoSpaceDE w:val="0"/>
        <w:autoSpaceDN w:val="0"/>
        <w:adjustRightInd w:val="0"/>
        <w:ind w:firstLine="720"/>
        <w:jc w:val="both"/>
        <w:rPr>
          <w:spacing w:val="0"/>
          <w:sz w:val="28"/>
          <w:szCs w:val="28"/>
          <w:lang w:val="uk-UA"/>
        </w:rPr>
      </w:pPr>
      <w:r w:rsidRPr="007E0AC1">
        <w:rPr>
          <w:spacing w:val="0"/>
          <w:sz w:val="28"/>
          <w:szCs w:val="28"/>
          <w:lang w:val="uk-UA"/>
        </w:rPr>
        <w:t xml:space="preserve">Рейтинг акцій Котирувального </w:t>
      </w:r>
      <w:r w:rsidR="00C77905" w:rsidRPr="007E0AC1">
        <w:rPr>
          <w:spacing w:val="0"/>
          <w:sz w:val="28"/>
          <w:szCs w:val="28"/>
          <w:lang w:val="uk-UA"/>
        </w:rPr>
        <w:t>списку першого рівня у 2008 р.</w:t>
      </w:r>
      <w:r w:rsidRPr="007E0AC1">
        <w:rPr>
          <w:spacing w:val="0"/>
          <w:sz w:val="28"/>
          <w:szCs w:val="28"/>
          <w:lang w:val="uk-UA"/>
        </w:rPr>
        <w:t xml:space="preserve"> очолили цінні папер</w:t>
      </w:r>
      <w:r w:rsidR="000073CD" w:rsidRPr="007E0AC1">
        <w:rPr>
          <w:spacing w:val="0"/>
          <w:sz w:val="28"/>
          <w:szCs w:val="28"/>
          <w:lang w:val="uk-UA"/>
        </w:rPr>
        <w:t xml:space="preserve">и емітентів енергетичної галузі: </w:t>
      </w:r>
      <w:r w:rsidRPr="007E0AC1">
        <w:rPr>
          <w:spacing w:val="0"/>
          <w:sz w:val="28"/>
          <w:szCs w:val="28"/>
          <w:lang w:val="uk-UA"/>
        </w:rPr>
        <w:t xml:space="preserve"> ВАТ «Цен</w:t>
      </w:r>
      <w:r w:rsidR="000073CD" w:rsidRPr="007E0AC1">
        <w:rPr>
          <w:spacing w:val="0"/>
          <w:sz w:val="28"/>
          <w:szCs w:val="28"/>
          <w:lang w:val="uk-UA"/>
        </w:rPr>
        <w:t>тренерго», ВАТ «Дніпроенерго», ВАТ «Західенерго»</w:t>
      </w:r>
      <w:r w:rsidRPr="007E0AC1">
        <w:rPr>
          <w:spacing w:val="0"/>
          <w:sz w:val="28"/>
          <w:szCs w:val="28"/>
          <w:lang w:val="uk-UA"/>
        </w:rPr>
        <w:t xml:space="preserve">. Лідерами серед акцій Котирувального списку другого рівня стали цінні папери </w:t>
      </w:r>
      <w:r w:rsidR="000073CD" w:rsidRPr="007E0AC1">
        <w:rPr>
          <w:spacing w:val="0"/>
          <w:sz w:val="28"/>
          <w:szCs w:val="28"/>
          <w:lang w:val="uk-UA"/>
        </w:rPr>
        <w:t>емітентів металургійної галузі:</w:t>
      </w:r>
      <w:r w:rsidRPr="007E0AC1">
        <w:rPr>
          <w:spacing w:val="0"/>
          <w:sz w:val="28"/>
          <w:szCs w:val="28"/>
          <w:lang w:val="uk-UA"/>
        </w:rPr>
        <w:t xml:space="preserve"> ВАТ «Єнакієвський металург</w:t>
      </w:r>
      <w:r w:rsidR="000073CD" w:rsidRPr="007E0AC1">
        <w:rPr>
          <w:spacing w:val="0"/>
          <w:sz w:val="28"/>
          <w:szCs w:val="28"/>
          <w:lang w:val="uk-UA"/>
        </w:rPr>
        <w:t>ійний завод», ВАТ «Азовсталь»,</w:t>
      </w:r>
      <w:r w:rsidRPr="007E0AC1">
        <w:rPr>
          <w:spacing w:val="0"/>
          <w:sz w:val="28"/>
          <w:szCs w:val="28"/>
          <w:lang w:val="uk-UA"/>
        </w:rPr>
        <w:t xml:space="preserve"> ВАТ «Алче</w:t>
      </w:r>
      <w:r w:rsidR="000073CD" w:rsidRPr="007E0AC1">
        <w:rPr>
          <w:spacing w:val="0"/>
          <w:sz w:val="28"/>
          <w:szCs w:val="28"/>
          <w:lang w:val="uk-UA"/>
        </w:rPr>
        <w:t xml:space="preserve">вський металургійний комбінат». </w:t>
      </w:r>
      <w:r w:rsidRPr="007E0AC1">
        <w:rPr>
          <w:spacing w:val="0"/>
          <w:sz w:val="28"/>
          <w:szCs w:val="28"/>
          <w:lang w:val="uk-UA"/>
        </w:rPr>
        <w:t>Цінні папери КУА «ІСФП Менеджмент» (ЗНПІФ «ІСФП грошовий ринок»), КУА «ДАН» (НДЗВПІФ «ДАН») та ЗНВКІФ «Європейські технології» увій</w:t>
      </w:r>
      <w:r w:rsidR="00C77905" w:rsidRPr="007E0AC1">
        <w:rPr>
          <w:spacing w:val="0"/>
          <w:sz w:val="28"/>
          <w:szCs w:val="28"/>
          <w:lang w:val="uk-UA"/>
        </w:rPr>
        <w:t xml:space="preserve">шли до першої трійки рейтингу цінних паперів інститутів спільного інвестування </w:t>
      </w:r>
      <w:r w:rsidRPr="007E0AC1">
        <w:rPr>
          <w:spacing w:val="0"/>
          <w:sz w:val="28"/>
          <w:szCs w:val="28"/>
          <w:lang w:val="uk-UA"/>
        </w:rPr>
        <w:t xml:space="preserve"> біржового реєстру.</w:t>
      </w:r>
      <w:r w:rsidR="000073CD" w:rsidRPr="007E0AC1">
        <w:rPr>
          <w:spacing w:val="0"/>
          <w:sz w:val="28"/>
          <w:szCs w:val="28"/>
          <w:lang w:val="uk-UA"/>
        </w:rPr>
        <w:t xml:space="preserve"> </w:t>
      </w:r>
    </w:p>
    <w:p w:rsidR="007C4CCE" w:rsidRPr="007E0AC1" w:rsidRDefault="007C4CCE" w:rsidP="00C77905">
      <w:pPr>
        <w:autoSpaceDE w:val="0"/>
        <w:autoSpaceDN w:val="0"/>
        <w:adjustRightInd w:val="0"/>
        <w:ind w:firstLine="720"/>
        <w:jc w:val="both"/>
        <w:rPr>
          <w:spacing w:val="0"/>
          <w:sz w:val="28"/>
          <w:szCs w:val="28"/>
          <w:lang w:val="uk-UA"/>
        </w:rPr>
      </w:pPr>
      <w:r w:rsidRPr="007E0AC1">
        <w:rPr>
          <w:spacing w:val="0"/>
          <w:sz w:val="28"/>
          <w:szCs w:val="28"/>
          <w:lang w:val="uk-UA"/>
        </w:rPr>
        <w:t>Для дослідження ступеня адекватності відображення фондовим індексом ПФТС стану національної економіки було проведено кореляційно-регресійний аналіз за вихідними даними, наведеними у табл. 3.</w:t>
      </w:r>
    </w:p>
    <w:p w:rsidR="00C3244F" w:rsidRPr="007E0AC1" w:rsidRDefault="00C3244F" w:rsidP="00C3244F">
      <w:pPr>
        <w:autoSpaceDE w:val="0"/>
        <w:autoSpaceDN w:val="0"/>
        <w:adjustRightInd w:val="0"/>
        <w:ind w:firstLine="720"/>
        <w:jc w:val="both"/>
        <w:rPr>
          <w:spacing w:val="0"/>
          <w:sz w:val="28"/>
          <w:szCs w:val="28"/>
          <w:lang w:val="uk-UA"/>
        </w:rPr>
      </w:pPr>
      <w:r w:rsidRPr="007E0AC1">
        <w:rPr>
          <w:spacing w:val="0"/>
          <w:sz w:val="28"/>
          <w:szCs w:val="28"/>
          <w:lang w:val="uk-UA"/>
        </w:rPr>
        <w:t>Кореляційну матрицю, отриману за допомогою використання пакету прикладних програм Statistica 6,0,  наведено у табл. 4.</w:t>
      </w:r>
      <w:r>
        <w:rPr>
          <w:spacing w:val="0"/>
          <w:sz w:val="28"/>
          <w:szCs w:val="28"/>
          <w:lang w:val="uk-UA"/>
        </w:rPr>
        <w:t xml:space="preserve"> </w:t>
      </w:r>
      <w:r w:rsidRPr="007E0AC1">
        <w:rPr>
          <w:spacing w:val="0"/>
          <w:sz w:val="28"/>
          <w:szCs w:val="28"/>
          <w:lang w:val="uk-UA"/>
        </w:rPr>
        <w:t>Індекс цін промислового виробництва має істотний зворотний кореляційний зв'язок з кількістю безробітних</w:t>
      </w:r>
      <w:r>
        <w:rPr>
          <w:spacing w:val="0"/>
          <w:sz w:val="28"/>
          <w:szCs w:val="28"/>
          <w:lang w:val="uk-UA"/>
        </w:rPr>
        <w:t xml:space="preserve">  </w:t>
      </w:r>
      <w:r w:rsidRPr="007E0AC1">
        <w:rPr>
          <w:spacing w:val="0"/>
          <w:sz w:val="28"/>
          <w:szCs w:val="28"/>
          <w:lang w:val="uk-UA"/>
        </w:rPr>
        <w:t xml:space="preserve"> (-0,752) </w:t>
      </w:r>
      <w:r>
        <w:rPr>
          <w:spacing w:val="0"/>
          <w:sz w:val="28"/>
          <w:szCs w:val="28"/>
          <w:lang w:val="uk-UA"/>
        </w:rPr>
        <w:t xml:space="preserve">   </w:t>
      </w:r>
      <w:r w:rsidRPr="007E0AC1">
        <w:rPr>
          <w:spacing w:val="0"/>
          <w:sz w:val="28"/>
          <w:szCs w:val="28"/>
          <w:lang w:val="uk-UA"/>
        </w:rPr>
        <w:t xml:space="preserve">та індексом цін </w:t>
      </w:r>
      <w:r>
        <w:rPr>
          <w:spacing w:val="0"/>
          <w:sz w:val="28"/>
          <w:szCs w:val="28"/>
          <w:lang w:val="uk-UA"/>
        </w:rPr>
        <w:t xml:space="preserve">   </w:t>
      </w:r>
      <w:r w:rsidRPr="007E0AC1">
        <w:rPr>
          <w:spacing w:val="0"/>
          <w:sz w:val="28"/>
          <w:szCs w:val="28"/>
          <w:lang w:val="uk-UA"/>
        </w:rPr>
        <w:t xml:space="preserve">(-0,657), індекс ПФТС з </w:t>
      </w:r>
      <w:r>
        <w:rPr>
          <w:spacing w:val="0"/>
          <w:sz w:val="28"/>
          <w:szCs w:val="28"/>
          <w:lang w:val="uk-UA"/>
        </w:rPr>
        <w:t xml:space="preserve">  </w:t>
      </w:r>
      <w:r w:rsidRPr="007E0AC1">
        <w:rPr>
          <w:spacing w:val="0"/>
          <w:sz w:val="28"/>
          <w:szCs w:val="28"/>
          <w:lang w:val="uk-UA"/>
        </w:rPr>
        <w:t>ін</w:t>
      </w:r>
      <w:r>
        <w:rPr>
          <w:spacing w:val="0"/>
          <w:sz w:val="28"/>
          <w:szCs w:val="28"/>
          <w:lang w:val="uk-UA"/>
        </w:rPr>
        <w:t>дексом цін (-</w:t>
      </w:r>
      <w:r w:rsidRPr="007E0AC1">
        <w:rPr>
          <w:spacing w:val="0"/>
          <w:sz w:val="28"/>
          <w:szCs w:val="28"/>
          <w:lang w:val="uk-UA"/>
        </w:rPr>
        <w:t xml:space="preserve">0,839). </w:t>
      </w:r>
    </w:p>
    <w:p w:rsidR="007C4CCE" w:rsidRPr="007E0AC1" w:rsidRDefault="007C4CCE" w:rsidP="007C4CCE">
      <w:pPr>
        <w:autoSpaceDE w:val="0"/>
        <w:autoSpaceDN w:val="0"/>
        <w:adjustRightInd w:val="0"/>
        <w:ind w:firstLine="720"/>
        <w:jc w:val="right"/>
        <w:rPr>
          <w:spacing w:val="0"/>
          <w:sz w:val="28"/>
          <w:szCs w:val="28"/>
          <w:lang w:val="uk-UA"/>
        </w:rPr>
      </w:pPr>
      <w:r w:rsidRPr="007E0AC1">
        <w:rPr>
          <w:spacing w:val="0"/>
          <w:sz w:val="28"/>
          <w:szCs w:val="28"/>
          <w:lang w:val="uk-UA"/>
        </w:rPr>
        <w:t>Таблиця 3</w:t>
      </w:r>
    </w:p>
    <w:p w:rsidR="009C76D1" w:rsidRPr="007E0AC1" w:rsidRDefault="009C76D1" w:rsidP="009C76D1">
      <w:pPr>
        <w:autoSpaceDE w:val="0"/>
        <w:autoSpaceDN w:val="0"/>
        <w:adjustRightInd w:val="0"/>
        <w:ind w:firstLine="720"/>
        <w:jc w:val="center"/>
        <w:rPr>
          <w:spacing w:val="0"/>
          <w:sz w:val="28"/>
          <w:szCs w:val="28"/>
          <w:lang w:val="uk-UA"/>
        </w:rPr>
      </w:pPr>
      <w:r w:rsidRPr="007E0AC1">
        <w:rPr>
          <w:spacing w:val="0"/>
          <w:sz w:val="28"/>
          <w:szCs w:val="28"/>
          <w:lang w:val="uk-UA"/>
        </w:rPr>
        <w:t xml:space="preserve">Вихідні дані для аналізу взаємозв’язку індексу ПФТС з макроекономічними показниками України </w:t>
      </w:r>
      <w:r w:rsidR="00ED4557" w:rsidRPr="007E0AC1">
        <w:rPr>
          <w:spacing w:val="0"/>
          <w:sz w:val="28"/>
          <w:szCs w:val="28"/>
          <w:lang w:val="uk-UA"/>
        </w:rPr>
        <w:t>(побудовано за даними [</w:t>
      </w:r>
      <w:r w:rsidR="0007439F" w:rsidRPr="007E0AC1">
        <w:rPr>
          <w:spacing w:val="0"/>
          <w:sz w:val="28"/>
          <w:szCs w:val="28"/>
          <w:lang w:val="uk-UA"/>
        </w:rPr>
        <w:t>15</w:t>
      </w:r>
      <w:r w:rsidR="00ED4557" w:rsidRPr="007E0AC1">
        <w:rPr>
          <w:spacing w:val="0"/>
          <w:sz w:val="28"/>
          <w:szCs w:val="28"/>
          <w:lang w:val="uk-UA"/>
        </w:rPr>
        <w:t>])</w:t>
      </w:r>
    </w:p>
    <w:tbl>
      <w:tblPr>
        <w:tblW w:w="0" w:type="auto"/>
        <w:jc w:val="center"/>
        <w:tblInd w:w="-20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96"/>
        <w:gridCol w:w="3060"/>
        <w:gridCol w:w="2160"/>
        <w:gridCol w:w="1800"/>
        <w:gridCol w:w="1198"/>
      </w:tblGrid>
      <w:tr w:rsidR="00ED4557" w:rsidRPr="007E0AC1">
        <w:trPr>
          <w:jc w:val="center"/>
        </w:trPr>
        <w:tc>
          <w:tcPr>
            <w:tcW w:w="1196" w:type="dxa"/>
            <w:noWrap/>
          </w:tcPr>
          <w:p w:rsidR="00ED4557" w:rsidRPr="007E0AC1" w:rsidRDefault="00ED4557" w:rsidP="00282095">
            <w:pPr>
              <w:jc w:val="center"/>
              <w:rPr>
                <w:bCs/>
                <w:color w:val="000000"/>
                <w:spacing w:val="0"/>
                <w:sz w:val="28"/>
                <w:szCs w:val="28"/>
                <w:lang w:val="uk-UA"/>
              </w:rPr>
            </w:pPr>
            <w:r w:rsidRPr="007E0AC1">
              <w:rPr>
                <w:bCs/>
                <w:color w:val="000000"/>
                <w:spacing w:val="0"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3060" w:type="dxa"/>
            <w:noWrap/>
          </w:tcPr>
          <w:p w:rsidR="00ED4557" w:rsidRPr="007E0AC1" w:rsidRDefault="00ED4557" w:rsidP="00D260B7">
            <w:pPr>
              <w:jc w:val="center"/>
              <w:rPr>
                <w:color w:val="000000"/>
                <w:spacing w:val="0"/>
                <w:sz w:val="28"/>
                <w:szCs w:val="28"/>
                <w:lang w:val="uk-UA"/>
              </w:rPr>
            </w:pPr>
            <w:r w:rsidRPr="007E0AC1">
              <w:rPr>
                <w:color w:val="000000"/>
                <w:spacing w:val="0"/>
                <w:sz w:val="28"/>
                <w:szCs w:val="28"/>
                <w:lang w:val="uk-UA"/>
              </w:rPr>
              <w:t>Індекс промислового виробництва до грудня 2007 р. , %</w:t>
            </w:r>
          </w:p>
          <w:p w:rsidR="00DA37D4" w:rsidRPr="007E0AC1" w:rsidRDefault="00DA37D4" w:rsidP="00D260B7">
            <w:pPr>
              <w:jc w:val="center"/>
              <w:rPr>
                <w:color w:val="000000"/>
                <w:spacing w:val="0"/>
                <w:sz w:val="28"/>
                <w:szCs w:val="28"/>
                <w:lang w:val="uk-UA"/>
              </w:rPr>
            </w:pPr>
            <w:r w:rsidRPr="007E0AC1">
              <w:rPr>
                <w:color w:val="000000"/>
                <w:spacing w:val="0"/>
                <w:sz w:val="28"/>
                <w:szCs w:val="28"/>
                <w:lang w:val="uk-UA"/>
              </w:rPr>
              <w:t>I</w:t>
            </w:r>
            <w:r w:rsidRPr="007E0AC1">
              <w:rPr>
                <w:color w:val="000000"/>
                <w:spacing w:val="0"/>
                <w:sz w:val="28"/>
                <w:szCs w:val="28"/>
                <w:vertAlign w:val="subscript"/>
                <w:lang w:val="uk-UA"/>
              </w:rPr>
              <w:t>п</w:t>
            </w:r>
          </w:p>
        </w:tc>
        <w:tc>
          <w:tcPr>
            <w:tcW w:w="2160" w:type="dxa"/>
            <w:noWrap/>
          </w:tcPr>
          <w:p w:rsidR="00ED4557" w:rsidRPr="007E0AC1" w:rsidRDefault="00ED4557" w:rsidP="00D260B7">
            <w:pPr>
              <w:jc w:val="center"/>
              <w:rPr>
                <w:color w:val="000000"/>
                <w:spacing w:val="0"/>
                <w:sz w:val="28"/>
                <w:szCs w:val="28"/>
                <w:lang w:val="uk-UA"/>
              </w:rPr>
            </w:pPr>
            <w:r w:rsidRPr="007E0AC1">
              <w:rPr>
                <w:color w:val="000000"/>
                <w:spacing w:val="0"/>
                <w:sz w:val="28"/>
                <w:szCs w:val="28"/>
                <w:lang w:val="uk-UA"/>
              </w:rPr>
              <w:t>Кількість безробітних, тис. чол.</w:t>
            </w:r>
          </w:p>
          <w:p w:rsidR="00DA37D4" w:rsidRPr="007E0AC1" w:rsidRDefault="00DA37D4" w:rsidP="00D260B7">
            <w:pPr>
              <w:jc w:val="center"/>
              <w:rPr>
                <w:color w:val="000000"/>
                <w:spacing w:val="0"/>
                <w:sz w:val="28"/>
                <w:szCs w:val="28"/>
                <w:lang w:val="uk-UA"/>
              </w:rPr>
            </w:pPr>
            <w:r w:rsidRPr="007E0AC1">
              <w:rPr>
                <w:color w:val="000000"/>
                <w:spacing w:val="0"/>
                <w:sz w:val="28"/>
                <w:szCs w:val="28"/>
                <w:lang w:val="uk-UA"/>
              </w:rPr>
              <w:t>Б</w:t>
            </w:r>
          </w:p>
        </w:tc>
        <w:tc>
          <w:tcPr>
            <w:tcW w:w="1800" w:type="dxa"/>
            <w:noWrap/>
          </w:tcPr>
          <w:p w:rsidR="00ED4557" w:rsidRPr="007E0AC1" w:rsidRDefault="00ED4557" w:rsidP="00D260B7">
            <w:pPr>
              <w:jc w:val="center"/>
              <w:rPr>
                <w:color w:val="000000"/>
                <w:spacing w:val="0"/>
                <w:sz w:val="28"/>
                <w:szCs w:val="28"/>
                <w:lang w:val="uk-UA"/>
              </w:rPr>
            </w:pPr>
            <w:r w:rsidRPr="007E0AC1">
              <w:rPr>
                <w:color w:val="000000"/>
                <w:spacing w:val="0"/>
                <w:sz w:val="28"/>
                <w:szCs w:val="28"/>
                <w:lang w:val="uk-UA"/>
              </w:rPr>
              <w:t>Індекс цін  до грудня 2007 р. , %</w:t>
            </w:r>
          </w:p>
          <w:p w:rsidR="00DA37D4" w:rsidRPr="007E0AC1" w:rsidRDefault="00DA37D4" w:rsidP="00D260B7">
            <w:pPr>
              <w:jc w:val="center"/>
              <w:rPr>
                <w:color w:val="000000"/>
                <w:spacing w:val="0"/>
                <w:sz w:val="28"/>
                <w:szCs w:val="28"/>
                <w:lang w:val="uk-UA"/>
              </w:rPr>
            </w:pPr>
            <w:r w:rsidRPr="007E0AC1">
              <w:rPr>
                <w:color w:val="000000"/>
                <w:spacing w:val="0"/>
                <w:sz w:val="28"/>
                <w:szCs w:val="28"/>
                <w:lang w:val="uk-UA"/>
              </w:rPr>
              <w:t>I</w:t>
            </w:r>
            <w:r w:rsidRPr="007E0AC1">
              <w:rPr>
                <w:color w:val="000000"/>
                <w:spacing w:val="0"/>
                <w:sz w:val="28"/>
                <w:szCs w:val="28"/>
                <w:vertAlign w:val="subscript"/>
                <w:lang w:val="uk-UA"/>
              </w:rPr>
              <w:t>ц</w:t>
            </w:r>
          </w:p>
        </w:tc>
        <w:tc>
          <w:tcPr>
            <w:tcW w:w="1198" w:type="dxa"/>
            <w:noWrap/>
          </w:tcPr>
          <w:p w:rsidR="00ED4557" w:rsidRPr="007E0AC1" w:rsidRDefault="00ED4557" w:rsidP="00D260B7">
            <w:pPr>
              <w:jc w:val="center"/>
              <w:rPr>
                <w:color w:val="000000"/>
                <w:spacing w:val="0"/>
                <w:sz w:val="28"/>
                <w:szCs w:val="28"/>
                <w:lang w:val="uk-UA"/>
              </w:rPr>
            </w:pPr>
            <w:r w:rsidRPr="007E0AC1">
              <w:rPr>
                <w:color w:val="000000"/>
                <w:spacing w:val="0"/>
                <w:sz w:val="28"/>
                <w:szCs w:val="28"/>
                <w:lang w:val="uk-UA"/>
              </w:rPr>
              <w:t>Індекс ПФТС, б. п.</w:t>
            </w:r>
          </w:p>
          <w:p w:rsidR="00DA37D4" w:rsidRPr="007E0AC1" w:rsidRDefault="00DA37D4" w:rsidP="00D260B7">
            <w:pPr>
              <w:jc w:val="center"/>
              <w:rPr>
                <w:color w:val="000000"/>
                <w:spacing w:val="0"/>
                <w:sz w:val="28"/>
                <w:szCs w:val="28"/>
                <w:lang w:val="uk-UA"/>
              </w:rPr>
            </w:pPr>
            <w:r w:rsidRPr="007E0AC1">
              <w:rPr>
                <w:color w:val="000000"/>
                <w:spacing w:val="0"/>
                <w:sz w:val="28"/>
                <w:szCs w:val="28"/>
                <w:lang w:val="uk-UA"/>
              </w:rPr>
              <w:t>I</w:t>
            </w:r>
            <w:r w:rsidRPr="007E0AC1">
              <w:rPr>
                <w:color w:val="000000"/>
                <w:spacing w:val="0"/>
                <w:sz w:val="28"/>
                <w:szCs w:val="28"/>
                <w:vertAlign w:val="subscript"/>
                <w:lang w:val="uk-UA"/>
              </w:rPr>
              <w:t>пфтс</w:t>
            </w:r>
          </w:p>
        </w:tc>
      </w:tr>
      <w:tr w:rsidR="009F6081" w:rsidRPr="007E0AC1">
        <w:trPr>
          <w:jc w:val="center"/>
        </w:trPr>
        <w:tc>
          <w:tcPr>
            <w:tcW w:w="1196" w:type="dxa"/>
            <w:noWrap/>
          </w:tcPr>
          <w:p w:rsidR="009F6081" w:rsidRPr="007E0AC1" w:rsidRDefault="009F6081" w:rsidP="00282095">
            <w:pPr>
              <w:jc w:val="center"/>
              <w:rPr>
                <w:bCs/>
                <w:spacing w:val="0"/>
                <w:sz w:val="28"/>
                <w:szCs w:val="28"/>
                <w:lang w:val="uk-UA"/>
              </w:rPr>
            </w:pPr>
            <w:r w:rsidRPr="007E0AC1">
              <w:rPr>
                <w:bCs/>
                <w:color w:val="000000"/>
                <w:spacing w:val="0"/>
                <w:sz w:val="28"/>
                <w:szCs w:val="28"/>
                <w:lang w:val="uk-UA"/>
              </w:rPr>
              <w:t>01.01.08</w:t>
            </w:r>
          </w:p>
        </w:tc>
        <w:tc>
          <w:tcPr>
            <w:tcW w:w="3060" w:type="dxa"/>
            <w:noWrap/>
          </w:tcPr>
          <w:p w:rsidR="009F6081" w:rsidRPr="007E0AC1" w:rsidRDefault="009F6081" w:rsidP="00ED4557">
            <w:pPr>
              <w:jc w:val="center"/>
              <w:rPr>
                <w:spacing w:val="0"/>
                <w:sz w:val="28"/>
                <w:szCs w:val="28"/>
                <w:lang w:val="uk-UA"/>
              </w:rPr>
            </w:pPr>
            <w:r w:rsidRPr="007E0AC1">
              <w:rPr>
                <w:color w:val="000000"/>
                <w:spacing w:val="0"/>
                <w:sz w:val="28"/>
                <w:szCs w:val="28"/>
                <w:lang w:val="uk-UA"/>
              </w:rPr>
              <w:t>87,6</w:t>
            </w:r>
          </w:p>
        </w:tc>
        <w:tc>
          <w:tcPr>
            <w:tcW w:w="2160" w:type="dxa"/>
            <w:noWrap/>
          </w:tcPr>
          <w:p w:rsidR="009F6081" w:rsidRPr="007E0AC1" w:rsidRDefault="009F6081" w:rsidP="00ED4557">
            <w:pPr>
              <w:jc w:val="center"/>
              <w:rPr>
                <w:spacing w:val="0"/>
                <w:sz w:val="28"/>
                <w:szCs w:val="28"/>
                <w:lang w:val="uk-UA"/>
              </w:rPr>
            </w:pPr>
            <w:r w:rsidRPr="007E0AC1">
              <w:rPr>
                <w:color w:val="000000"/>
                <w:spacing w:val="0"/>
                <w:sz w:val="28"/>
                <w:szCs w:val="28"/>
                <w:lang w:val="uk-UA"/>
              </w:rPr>
              <w:t>662,8</w:t>
            </w:r>
          </w:p>
        </w:tc>
        <w:tc>
          <w:tcPr>
            <w:tcW w:w="1800" w:type="dxa"/>
            <w:noWrap/>
            <w:vAlign w:val="bottom"/>
          </w:tcPr>
          <w:p w:rsidR="009F6081" w:rsidRPr="007E0AC1" w:rsidRDefault="009F6081" w:rsidP="009F6081">
            <w:pPr>
              <w:jc w:val="center"/>
              <w:rPr>
                <w:spacing w:val="0"/>
                <w:sz w:val="28"/>
                <w:szCs w:val="28"/>
                <w:lang w:val="uk-UA"/>
              </w:rPr>
            </w:pPr>
            <w:r w:rsidRPr="007E0AC1">
              <w:rPr>
                <w:spacing w:val="0"/>
                <w:sz w:val="28"/>
                <w:szCs w:val="28"/>
                <w:lang w:val="uk-UA"/>
              </w:rPr>
              <w:t>102,9</w:t>
            </w:r>
          </w:p>
        </w:tc>
        <w:tc>
          <w:tcPr>
            <w:tcW w:w="1198" w:type="dxa"/>
            <w:noWrap/>
          </w:tcPr>
          <w:p w:rsidR="009F6081" w:rsidRPr="007E0AC1" w:rsidRDefault="009F6081" w:rsidP="00ED4557">
            <w:pPr>
              <w:jc w:val="center"/>
              <w:rPr>
                <w:spacing w:val="0"/>
                <w:sz w:val="28"/>
                <w:szCs w:val="28"/>
                <w:lang w:val="uk-UA"/>
              </w:rPr>
            </w:pPr>
            <w:r w:rsidRPr="007E0AC1">
              <w:rPr>
                <w:color w:val="000000"/>
                <w:spacing w:val="0"/>
                <w:sz w:val="28"/>
                <w:szCs w:val="28"/>
                <w:lang w:val="uk-UA"/>
              </w:rPr>
              <w:t>1094</w:t>
            </w:r>
          </w:p>
        </w:tc>
      </w:tr>
      <w:tr w:rsidR="009F6081" w:rsidRPr="007E0AC1">
        <w:trPr>
          <w:jc w:val="center"/>
        </w:trPr>
        <w:tc>
          <w:tcPr>
            <w:tcW w:w="1196" w:type="dxa"/>
            <w:noWrap/>
          </w:tcPr>
          <w:p w:rsidR="009F6081" w:rsidRPr="007E0AC1" w:rsidRDefault="009F6081" w:rsidP="00282095">
            <w:pPr>
              <w:jc w:val="center"/>
              <w:rPr>
                <w:bCs/>
                <w:spacing w:val="0"/>
                <w:sz w:val="28"/>
                <w:szCs w:val="28"/>
                <w:lang w:val="uk-UA"/>
              </w:rPr>
            </w:pPr>
            <w:r w:rsidRPr="007E0AC1">
              <w:rPr>
                <w:bCs/>
                <w:color w:val="000000"/>
                <w:spacing w:val="0"/>
                <w:sz w:val="28"/>
                <w:szCs w:val="28"/>
                <w:lang w:val="uk-UA"/>
              </w:rPr>
              <w:t>01.02.08</w:t>
            </w:r>
          </w:p>
        </w:tc>
        <w:tc>
          <w:tcPr>
            <w:tcW w:w="3060" w:type="dxa"/>
            <w:noWrap/>
          </w:tcPr>
          <w:p w:rsidR="009F6081" w:rsidRPr="007E0AC1" w:rsidRDefault="009F6081" w:rsidP="00ED4557">
            <w:pPr>
              <w:jc w:val="center"/>
              <w:rPr>
                <w:spacing w:val="0"/>
                <w:sz w:val="28"/>
                <w:szCs w:val="28"/>
                <w:lang w:val="uk-UA"/>
              </w:rPr>
            </w:pPr>
            <w:r w:rsidRPr="007E0AC1">
              <w:rPr>
                <w:color w:val="000000"/>
                <w:spacing w:val="0"/>
                <w:sz w:val="28"/>
                <w:szCs w:val="28"/>
                <w:lang w:val="uk-UA"/>
              </w:rPr>
              <w:t>91,63</w:t>
            </w:r>
          </w:p>
        </w:tc>
        <w:tc>
          <w:tcPr>
            <w:tcW w:w="2160" w:type="dxa"/>
            <w:noWrap/>
          </w:tcPr>
          <w:p w:rsidR="009F6081" w:rsidRPr="007E0AC1" w:rsidRDefault="009F6081" w:rsidP="00ED4557">
            <w:pPr>
              <w:jc w:val="center"/>
              <w:rPr>
                <w:spacing w:val="0"/>
                <w:sz w:val="28"/>
                <w:szCs w:val="28"/>
                <w:lang w:val="uk-UA"/>
              </w:rPr>
            </w:pPr>
            <w:r w:rsidRPr="007E0AC1">
              <w:rPr>
                <w:color w:val="000000"/>
                <w:spacing w:val="0"/>
                <w:sz w:val="28"/>
                <w:szCs w:val="28"/>
                <w:lang w:val="uk-UA"/>
              </w:rPr>
              <w:t>671,1</w:t>
            </w:r>
          </w:p>
        </w:tc>
        <w:tc>
          <w:tcPr>
            <w:tcW w:w="1800" w:type="dxa"/>
            <w:noWrap/>
            <w:vAlign w:val="bottom"/>
          </w:tcPr>
          <w:p w:rsidR="009F6081" w:rsidRPr="007E0AC1" w:rsidRDefault="009F6081" w:rsidP="009F6081">
            <w:pPr>
              <w:jc w:val="center"/>
              <w:rPr>
                <w:spacing w:val="0"/>
                <w:sz w:val="28"/>
                <w:szCs w:val="28"/>
                <w:lang w:val="uk-UA"/>
              </w:rPr>
            </w:pPr>
            <w:r w:rsidRPr="007E0AC1">
              <w:rPr>
                <w:spacing w:val="0"/>
                <w:sz w:val="28"/>
                <w:szCs w:val="28"/>
                <w:lang w:val="uk-UA"/>
              </w:rPr>
              <w:t>105,7</w:t>
            </w:r>
          </w:p>
        </w:tc>
        <w:tc>
          <w:tcPr>
            <w:tcW w:w="1198" w:type="dxa"/>
            <w:noWrap/>
          </w:tcPr>
          <w:p w:rsidR="009F6081" w:rsidRPr="007E0AC1" w:rsidRDefault="009F6081" w:rsidP="00ED4557">
            <w:pPr>
              <w:jc w:val="center"/>
              <w:rPr>
                <w:spacing w:val="0"/>
                <w:sz w:val="28"/>
                <w:szCs w:val="28"/>
                <w:lang w:val="uk-UA"/>
              </w:rPr>
            </w:pPr>
            <w:r w:rsidRPr="007E0AC1">
              <w:rPr>
                <w:color w:val="000000"/>
                <w:spacing w:val="0"/>
                <w:sz w:val="28"/>
                <w:szCs w:val="28"/>
                <w:lang w:val="uk-UA"/>
              </w:rPr>
              <w:t>1102</w:t>
            </w:r>
          </w:p>
        </w:tc>
      </w:tr>
      <w:tr w:rsidR="009F6081" w:rsidRPr="007E0AC1">
        <w:trPr>
          <w:jc w:val="center"/>
        </w:trPr>
        <w:tc>
          <w:tcPr>
            <w:tcW w:w="1196" w:type="dxa"/>
            <w:noWrap/>
          </w:tcPr>
          <w:p w:rsidR="009F6081" w:rsidRPr="007E0AC1" w:rsidRDefault="009F6081" w:rsidP="00282095">
            <w:pPr>
              <w:jc w:val="center"/>
              <w:rPr>
                <w:bCs/>
                <w:spacing w:val="0"/>
                <w:sz w:val="28"/>
                <w:szCs w:val="28"/>
                <w:lang w:val="uk-UA"/>
              </w:rPr>
            </w:pPr>
            <w:r w:rsidRPr="007E0AC1">
              <w:rPr>
                <w:bCs/>
                <w:color w:val="000000"/>
                <w:spacing w:val="0"/>
                <w:sz w:val="28"/>
                <w:szCs w:val="28"/>
                <w:lang w:val="uk-UA"/>
              </w:rPr>
              <w:t>01.03.08</w:t>
            </w:r>
          </w:p>
        </w:tc>
        <w:tc>
          <w:tcPr>
            <w:tcW w:w="3060" w:type="dxa"/>
            <w:noWrap/>
          </w:tcPr>
          <w:p w:rsidR="009F6081" w:rsidRPr="007E0AC1" w:rsidRDefault="009F6081" w:rsidP="00ED4557">
            <w:pPr>
              <w:jc w:val="center"/>
              <w:rPr>
                <w:spacing w:val="0"/>
                <w:sz w:val="28"/>
                <w:szCs w:val="28"/>
                <w:lang w:val="uk-UA"/>
              </w:rPr>
            </w:pPr>
            <w:r w:rsidRPr="007E0AC1">
              <w:rPr>
                <w:color w:val="000000"/>
                <w:spacing w:val="0"/>
                <w:sz w:val="28"/>
                <w:szCs w:val="28"/>
                <w:lang w:val="uk-UA"/>
              </w:rPr>
              <w:t>98,14</w:t>
            </w:r>
          </w:p>
        </w:tc>
        <w:tc>
          <w:tcPr>
            <w:tcW w:w="2160" w:type="dxa"/>
            <w:noWrap/>
          </w:tcPr>
          <w:p w:rsidR="009F6081" w:rsidRPr="007E0AC1" w:rsidRDefault="009F6081" w:rsidP="00ED4557">
            <w:pPr>
              <w:jc w:val="center"/>
              <w:rPr>
                <w:spacing w:val="0"/>
                <w:sz w:val="28"/>
                <w:szCs w:val="28"/>
                <w:lang w:val="uk-UA"/>
              </w:rPr>
            </w:pPr>
            <w:r w:rsidRPr="007E0AC1">
              <w:rPr>
                <w:color w:val="000000"/>
                <w:spacing w:val="0"/>
                <w:sz w:val="28"/>
                <w:szCs w:val="28"/>
                <w:lang w:val="uk-UA"/>
              </w:rPr>
              <w:t>639,6</w:t>
            </w:r>
          </w:p>
        </w:tc>
        <w:tc>
          <w:tcPr>
            <w:tcW w:w="1800" w:type="dxa"/>
            <w:noWrap/>
            <w:vAlign w:val="bottom"/>
          </w:tcPr>
          <w:p w:rsidR="009F6081" w:rsidRPr="007E0AC1" w:rsidRDefault="009F6081" w:rsidP="009F6081">
            <w:pPr>
              <w:jc w:val="center"/>
              <w:rPr>
                <w:spacing w:val="0"/>
                <w:sz w:val="28"/>
                <w:szCs w:val="28"/>
                <w:lang w:val="uk-UA"/>
              </w:rPr>
            </w:pPr>
            <w:r w:rsidRPr="007E0AC1">
              <w:rPr>
                <w:spacing w:val="0"/>
                <w:sz w:val="28"/>
                <w:szCs w:val="28"/>
                <w:lang w:val="uk-UA"/>
              </w:rPr>
              <w:t>109,7</w:t>
            </w:r>
          </w:p>
        </w:tc>
        <w:tc>
          <w:tcPr>
            <w:tcW w:w="1198" w:type="dxa"/>
            <w:noWrap/>
          </w:tcPr>
          <w:p w:rsidR="009F6081" w:rsidRPr="007E0AC1" w:rsidRDefault="009F6081" w:rsidP="00ED4557">
            <w:pPr>
              <w:jc w:val="center"/>
              <w:rPr>
                <w:spacing w:val="0"/>
                <w:sz w:val="28"/>
                <w:szCs w:val="28"/>
                <w:lang w:val="uk-UA"/>
              </w:rPr>
            </w:pPr>
            <w:r w:rsidRPr="007E0AC1">
              <w:rPr>
                <w:color w:val="000000"/>
                <w:spacing w:val="0"/>
                <w:sz w:val="28"/>
                <w:szCs w:val="28"/>
                <w:lang w:val="uk-UA"/>
              </w:rPr>
              <w:t>959,3</w:t>
            </w:r>
          </w:p>
        </w:tc>
      </w:tr>
      <w:tr w:rsidR="009F6081" w:rsidRPr="007E0AC1">
        <w:trPr>
          <w:jc w:val="center"/>
        </w:trPr>
        <w:tc>
          <w:tcPr>
            <w:tcW w:w="1196" w:type="dxa"/>
            <w:noWrap/>
          </w:tcPr>
          <w:p w:rsidR="009F6081" w:rsidRPr="007E0AC1" w:rsidRDefault="009F6081" w:rsidP="00282095">
            <w:pPr>
              <w:jc w:val="center"/>
              <w:rPr>
                <w:bCs/>
                <w:spacing w:val="0"/>
                <w:sz w:val="28"/>
                <w:szCs w:val="28"/>
                <w:lang w:val="uk-UA"/>
              </w:rPr>
            </w:pPr>
            <w:r w:rsidRPr="007E0AC1">
              <w:rPr>
                <w:bCs/>
                <w:color w:val="000000"/>
                <w:spacing w:val="0"/>
                <w:sz w:val="28"/>
                <w:szCs w:val="28"/>
                <w:lang w:val="uk-UA"/>
              </w:rPr>
              <w:t>01.04.08</w:t>
            </w:r>
          </w:p>
        </w:tc>
        <w:tc>
          <w:tcPr>
            <w:tcW w:w="3060" w:type="dxa"/>
            <w:noWrap/>
          </w:tcPr>
          <w:p w:rsidR="009F6081" w:rsidRPr="007E0AC1" w:rsidRDefault="009F6081" w:rsidP="00ED4557">
            <w:pPr>
              <w:jc w:val="center"/>
              <w:rPr>
                <w:spacing w:val="0"/>
                <w:sz w:val="28"/>
                <w:szCs w:val="28"/>
                <w:lang w:val="uk-UA"/>
              </w:rPr>
            </w:pPr>
            <w:r w:rsidRPr="007E0AC1">
              <w:rPr>
                <w:color w:val="000000"/>
                <w:spacing w:val="0"/>
                <w:sz w:val="28"/>
                <w:szCs w:val="28"/>
                <w:lang w:val="uk-UA"/>
              </w:rPr>
              <w:t>97,15</w:t>
            </w:r>
          </w:p>
        </w:tc>
        <w:tc>
          <w:tcPr>
            <w:tcW w:w="2160" w:type="dxa"/>
            <w:noWrap/>
          </w:tcPr>
          <w:p w:rsidR="009F6081" w:rsidRPr="007E0AC1" w:rsidRDefault="009F6081" w:rsidP="00ED4557">
            <w:pPr>
              <w:jc w:val="center"/>
              <w:rPr>
                <w:spacing w:val="0"/>
                <w:sz w:val="28"/>
                <w:szCs w:val="28"/>
                <w:lang w:val="uk-UA"/>
              </w:rPr>
            </w:pPr>
            <w:r w:rsidRPr="007E0AC1">
              <w:rPr>
                <w:color w:val="000000"/>
                <w:spacing w:val="0"/>
                <w:sz w:val="28"/>
                <w:szCs w:val="28"/>
                <w:lang w:val="uk-UA"/>
              </w:rPr>
              <w:t>611,7</w:t>
            </w:r>
          </w:p>
        </w:tc>
        <w:tc>
          <w:tcPr>
            <w:tcW w:w="1800" w:type="dxa"/>
            <w:noWrap/>
            <w:vAlign w:val="bottom"/>
          </w:tcPr>
          <w:p w:rsidR="009F6081" w:rsidRPr="007E0AC1" w:rsidRDefault="009F6081" w:rsidP="009F6081">
            <w:pPr>
              <w:jc w:val="center"/>
              <w:rPr>
                <w:spacing w:val="0"/>
                <w:sz w:val="28"/>
                <w:szCs w:val="28"/>
                <w:lang w:val="uk-UA"/>
              </w:rPr>
            </w:pPr>
            <w:r w:rsidRPr="007E0AC1">
              <w:rPr>
                <w:spacing w:val="0"/>
                <w:sz w:val="28"/>
                <w:szCs w:val="28"/>
                <w:lang w:val="uk-UA"/>
              </w:rPr>
              <w:t>113,1</w:t>
            </w:r>
          </w:p>
        </w:tc>
        <w:tc>
          <w:tcPr>
            <w:tcW w:w="1198" w:type="dxa"/>
            <w:noWrap/>
          </w:tcPr>
          <w:p w:rsidR="009F6081" w:rsidRPr="007E0AC1" w:rsidRDefault="009F6081" w:rsidP="00ED4557">
            <w:pPr>
              <w:jc w:val="center"/>
              <w:rPr>
                <w:spacing w:val="0"/>
                <w:sz w:val="28"/>
                <w:szCs w:val="28"/>
                <w:lang w:val="uk-UA"/>
              </w:rPr>
            </w:pPr>
            <w:r w:rsidRPr="007E0AC1">
              <w:rPr>
                <w:color w:val="000000"/>
                <w:spacing w:val="0"/>
                <w:sz w:val="28"/>
                <w:szCs w:val="28"/>
                <w:lang w:val="uk-UA"/>
              </w:rPr>
              <w:t>355,2</w:t>
            </w:r>
          </w:p>
        </w:tc>
      </w:tr>
      <w:tr w:rsidR="009F6081" w:rsidRPr="007E0AC1">
        <w:trPr>
          <w:jc w:val="center"/>
        </w:trPr>
        <w:tc>
          <w:tcPr>
            <w:tcW w:w="1196" w:type="dxa"/>
            <w:noWrap/>
          </w:tcPr>
          <w:p w:rsidR="009F6081" w:rsidRPr="007E0AC1" w:rsidRDefault="009F6081" w:rsidP="00282095">
            <w:pPr>
              <w:jc w:val="center"/>
              <w:rPr>
                <w:bCs/>
                <w:spacing w:val="0"/>
                <w:sz w:val="28"/>
                <w:szCs w:val="28"/>
                <w:lang w:val="uk-UA"/>
              </w:rPr>
            </w:pPr>
            <w:r w:rsidRPr="007E0AC1">
              <w:rPr>
                <w:bCs/>
                <w:color w:val="000000"/>
                <w:spacing w:val="0"/>
                <w:sz w:val="28"/>
                <w:szCs w:val="28"/>
                <w:lang w:val="uk-UA"/>
              </w:rPr>
              <w:t>01.05.08</w:t>
            </w:r>
          </w:p>
        </w:tc>
        <w:tc>
          <w:tcPr>
            <w:tcW w:w="3060" w:type="dxa"/>
            <w:noWrap/>
          </w:tcPr>
          <w:p w:rsidR="009F6081" w:rsidRPr="007E0AC1" w:rsidRDefault="009F6081" w:rsidP="00ED4557">
            <w:pPr>
              <w:jc w:val="center"/>
              <w:rPr>
                <w:spacing w:val="0"/>
                <w:sz w:val="28"/>
                <w:szCs w:val="28"/>
                <w:lang w:val="uk-UA"/>
              </w:rPr>
            </w:pPr>
            <w:r w:rsidRPr="007E0AC1">
              <w:rPr>
                <w:color w:val="000000"/>
                <w:spacing w:val="0"/>
                <w:sz w:val="28"/>
                <w:szCs w:val="28"/>
                <w:lang w:val="uk-UA"/>
              </w:rPr>
              <w:t>99,29</w:t>
            </w:r>
          </w:p>
        </w:tc>
        <w:tc>
          <w:tcPr>
            <w:tcW w:w="2160" w:type="dxa"/>
            <w:noWrap/>
          </w:tcPr>
          <w:p w:rsidR="009F6081" w:rsidRPr="007E0AC1" w:rsidRDefault="009F6081" w:rsidP="00ED4557">
            <w:pPr>
              <w:jc w:val="center"/>
              <w:rPr>
                <w:spacing w:val="0"/>
                <w:sz w:val="28"/>
                <w:szCs w:val="28"/>
                <w:lang w:val="uk-UA"/>
              </w:rPr>
            </w:pPr>
            <w:r w:rsidRPr="007E0AC1">
              <w:rPr>
                <w:color w:val="000000"/>
                <w:spacing w:val="0"/>
                <w:sz w:val="28"/>
                <w:szCs w:val="28"/>
                <w:lang w:val="uk-UA"/>
              </w:rPr>
              <w:t>573,0</w:t>
            </w:r>
          </w:p>
        </w:tc>
        <w:tc>
          <w:tcPr>
            <w:tcW w:w="1800" w:type="dxa"/>
            <w:noWrap/>
            <w:vAlign w:val="bottom"/>
          </w:tcPr>
          <w:p w:rsidR="009F6081" w:rsidRPr="007E0AC1" w:rsidRDefault="009F6081" w:rsidP="009F6081">
            <w:pPr>
              <w:jc w:val="center"/>
              <w:rPr>
                <w:spacing w:val="0"/>
                <w:sz w:val="28"/>
                <w:szCs w:val="28"/>
                <w:lang w:val="uk-UA"/>
              </w:rPr>
            </w:pPr>
            <w:r w:rsidRPr="007E0AC1">
              <w:rPr>
                <w:spacing w:val="0"/>
                <w:sz w:val="28"/>
                <w:szCs w:val="28"/>
                <w:lang w:val="uk-UA"/>
              </w:rPr>
              <w:t>114,6</w:t>
            </w:r>
          </w:p>
        </w:tc>
        <w:tc>
          <w:tcPr>
            <w:tcW w:w="1198" w:type="dxa"/>
            <w:noWrap/>
          </w:tcPr>
          <w:p w:rsidR="009F6081" w:rsidRPr="007E0AC1" w:rsidRDefault="009F6081" w:rsidP="00ED4557">
            <w:pPr>
              <w:jc w:val="center"/>
              <w:rPr>
                <w:spacing w:val="0"/>
                <w:sz w:val="28"/>
                <w:szCs w:val="28"/>
                <w:lang w:val="uk-UA"/>
              </w:rPr>
            </w:pPr>
            <w:r w:rsidRPr="007E0AC1">
              <w:rPr>
                <w:color w:val="000000"/>
                <w:spacing w:val="0"/>
                <w:sz w:val="28"/>
                <w:szCs w:val="28"/>
                <w:lang w:val="uk-UA"/>
              </w:rPr>
              <w:t>912,2</w:t>
            </w:r>
          </w:p>
        </w:tc>
      </w:tr>
      <w:tr w:rsidR="009F6081" w:rsidRPr="007E0AC1">
        <w:trPr>
          <w:jc w:val="center"/>
        </w:trPr>
        <w:tc>
          <w:tcPr>
            <w:tcW w:w="1196" w:type="dxa"/>
            <w:noWrap/>
          </w:tcPr>
          <w:p w:rsidR="009F6081" w:rsidRPr="007E0AC1" w:rsidRDefault="009F6081" w:rsidP="00282095">
            <w:pPr>
              <w:jc w:val="center"/>
              <w:rPr>
                <w:bCs/>
                <w:spacing w:val="0"/>
                <w:sz w:val="28"/>
                <w:szCs w:val="28"/>
                <w:lang w:val="uk-UA"/>
              </w:rPr>
            </w:pPr>
            <w:r w:rsidRPr="007E0AC1">
              <w:rPr>
                <w:bCs/>
                <w:color w:val="000000"/>
                <w:spacing w:val="0"/>
                <w:sz w:val="28"/>
                <w:szCs w:val="28"/>
                <w:lang w:val="uk-UA"/>
              </w:rPr>
              <w:t>01.06.08</w:t>
            </w:r>
          </w:p>
        </w:tc>
        <w:tc>
          <w:tcPr>
            <w:tcW w:w="3060" w:type="dxa"/>
            <w:noWrap/>
          </w:tcPr>
          <w:p w:rsidR="009F6081" w:rsidRPr="007E0AC1" w:rsidRDefault="009F6081" w:rsidP="00ED4557">
            <w:pPr>
              <w:jc w:val="center"/>
              <w:rPr>
                <w:spacing w:val="0"/>
                <w:sz w:val="28"/>
                <w:szCs w:val="28"/>
                <w:lang w:val="uk-UA"/>
              </w:rPr>
            </w:pPr>
            <w:r w:rsidRPr="007E0AC1">
              <w:rPr>
                <w:color w:val="000000"/>
                <w:spacing w:val="0"/>
                <w:sz w:val="28"/>
                <w:szCs w:val="28"/>
                <w:lang w:val="uk-UA"/>
              </w:rPr>
              <w:t>96,81</w:t>
            </w:r>
          </w:p>
        </w:tc>
        <w:tc>
          <w:tcPr>
            <w:tcW w:w="2160" w:type="dxa"/>
            <w:noWrap/>
          </w:tcPr>
          <w:p w:rsidR="009F6081" w:rsidRPr="007E0AC1" w:rsidRDefault="009F6081" w:rsidP="00ED4557">
            <w:pPr>
              <w:jc w:val="center"/>
              <w:rPr>
                <w:spacing w:val="0"/>
                <w:sz w:val="28"/>
                <w:szCs w:val="28"/>
                <w:lang w:val="uk-UA"/>
              </w:rPr>
            </w:pPr>
            <w:r w:rsidRPr="007E0AC1">
              <w:rPr>
                <w:color w:val="000000"/>
                <w:spacing w:val="0"/>
                <w:sz w:val="28"/>
                <w:szCs w:val="28"/>
                <w:lang w:val="uk-UA"/>
              </w:rPr>
              <w:t>538,1</w:t>
            </w:r>
          </w:p>
        </w:tc>
        <w:tc>
          <w:tcPr>
            <w:tcW w:w="1800" w:type="dxa"/>
            <w:noWrap/>
            <w:vAlign w:val="bottom"/>
          </w:tcPr>
          <w:p w:rsidR="009F6081" w:rsidRPr="007E0AC1" w:rsidRDefault="009F6081" w:rsidP="009F6081">
            <w:pPr>
              <w:jc w:val="center"/>
              <w:rPr>
                <w:spacing w:val="0"/>
                <w:sz w:val="28"/>
                <w:szCs w:val="28"/>
                <w:lang w:val="uk-UA"/>
              </w:rPr>
            </w:pPr>
            <w:r w:rsidRPr="007E0AC1">
              <w:rPr>
                <w:spacing w:val="0"/>
                <w:sz w:val="28"/>
                <w:szCs w:val="28"/>
                <w:lang w:val="uk-UA"/>
              </w:rPr>
              <w:t>115,5</w:t>
            </w:r>
          </w:p>
        </w:tc>
        <w:tc>
          <w:tcPr>
            <w:tcW w:w="1198" w:type="dxa"/>
            <w:noWrap/>
          </w:tcPr>
          <w:p w:rsidR="009F6081" w:rsidRPr="007E0AC1" w:rsidRDefault="009F6081" w:rsidP="00ED4557">
            <w:pPr>
              <w:jc w:val="center"/>
              <w:rPr>
                <w:spacing w:val="0"/>
                <w:sz w:val="28"/>
                <w:szCs w:val="28"/>
                <w:lang w:val="uk-UA"/>
              </w:rPr>
            </w:pPr>
            <w:r w:rsidRPr="007E0AC1">
              <w:rPr>
                <w:color w:val="000000"/>
                <w:spacing w:val="0"/>
                <w:sz w:val="28"/>
                <w:szCs w:val="28"/>
                <w:lang w:val="uk-UA"/>
              </w:rPr>
              <w:t>767,6</w:t>
            </w:r>
          </w:p>
        </w:tc>
      </w:tr>
      <w:tr w:rsidR="009F6081" w:rsidRPr="007E0AC1">
        <w:trPr>
          <w:jc w:val="center"/>
        </w:trPr>
        <w:tc>
          <w:tcPr>
            <w:tcW w:w="1196" w:type="dxa"/>
            <w:noWrap/>
          </w:tcPr>
          <w:p w:rsidR="009F6081" w:rsidRPr="007E0AC1" w:rsidRDefault="009F6081" w:rsidP="00282095">
            <w:pPr>
              <w:jc w:val="center"/>
              <w:rPr>
                <w:bCs/>
                <w:spacing w:val="0"/>
                <w:sz w:val="28"/>
                <w:szCs w:val="28"/>
                <w:lang w:val="uk-UA"/>
              </w:rPr>
            </w:pPr>
            <w:r w:rsidRPr="007E0AC1">
              <w:rPr>
                <w:bCs/>
                <w:color w:val="000000"/>
                <w:spacing w:val="0"/>
                <w:sz w:val="28"/>
                <w:szCs w:val="28"/>
                <w:lang w:val="uk-UA"/>
              </w:rPr>
              <w:t>01.07.08</w:t>
            </w:r>
          </w:p>
        </w:tc>
        <w:tc>
          <w:tcPr>
            <w:tcW w:w="3060" w:type="dxa"/>
            <w:noWrap/>
          </w:tcPr>
          <w:p w:rsidR="009F6081" w:rsidRPr="007E0AC1" w:rsidRDefault="009F6081" w:rsidP="00ED4557">
            <w:pPr>
              <w:jc w:val="center"/>
              <w:rPr>
                <w:spacing w:val="0"/>
                <w:sz w:val="28"/>
                <w:szCs w:val="28"/>
                <w:lang w:val="uk-UA"/>
              </w:rPr>
            </w:pPr>
            <w:r w:rsidRPr="007E0AC1">
              <w:rPr>
                <w:color w:val="000000"/>
                <w:spacing w:val="0"/>
                <w:sz w:val="28"/>
                <w:szCs w:val="28"/>
                <w:lang w:val="uk-UA"/>
              </w:rPr>
              <w:t>98,65</w:t>
            </w:r>
          </w:p>
        </w:tc>
        <w:tc>
          <w:tcPr>
            <w:tcW w:w="2160" w:type="dxa"/>
            <w:noWrap/>
          </w:tcPr>
          <w:p w:rsidR="009F6081" w:rsidRPr="007E0AC1" w:rsidRDefault="009F6081" w:rsidP="00ED4557">
            <w:pPr>
              <w:jc w:val="center"/>
              <w:rPr>
                <w:spacing w:val="0"/>
                <w:sz w:val="28"/>
                <w:szCs w:val="28"/>
                <w:lang w:val="uk-UA"/>
              </w:rPr>
            </w:pPr>
            <w:r w:rsidRPr="007E0AC1">
              <w:rPr>
                <w:color w:val="000000"/>
                <w:spacing w:val="0"/>
                <w:sz w:val="28"/>
                <w:szCs w:val="28"/>
                <w:lang w:val="uk-UA"/>
              </w:rPr>
              <w:t>518,7</w:t>
            </w:r>
          </w:p>
        </w:tc>
        <w:tc>
          <w:tcPr>
            <w:tcW w:w="1800" w:type="dxa"/>
            <w:noWrap/>
            <w:vAlign w:val="bottom"/>
          </w:tcPr>
          <w:p w:rsidR="009F6081" w:rsidRPr="007E0AC1" w:rsidRDefault="009F6081" w:rsidP="009F6081">
            <w:pPr>
              <w:jc w:val="center"/>
              <w:rPr>
                <w:spacing w:val="0"/>
                <w:sz w:val="28"/>
                <w:szCs w:val="28"/>
                <w:lang w:val="uk-UA"/>
              </w:rPr>
            </w:pPr>
            <w:r w:rsidRPr="007E0AC1">
              <w:rPr>
                <w:spacing w:val="0"/>
                <w:sz w:val="28"/>
                <w:szCs w:val="28"/>
                <w:lang w:val="uk-UA"/>
              </w:rPr>
              <w:t>114,9</w:t>
            </w:r>
          </w:p>
        </w:tc>
        <w:tc>
          <w:tcPr>
            <w:tcW w:w="1198" w:type="dxa"/>
            <w:noWrap/>
          </w:tcPr>
          <w:p w:rsidR="009F6081" w:rsidRPr="007E0AC1" w:rsidRDefault="009F6081" w:rsidP="00ED4557">
            <w:pPr>
              <w:jc w:val="center"/>
              <w:rPr>
                <w:spacing w:val="0"/>
                <w:sz w:val="28"/>
                <w:szCs w:val="28"/>
                <w:lang w:val="uk-UA"/>
              </w:rPr>
            </w:pPr>
            <w:r w:rsidRPr="007E0AC1">
              <w:rPr>
                <w:color w:val="000000"/>
                <w:spacing w:val="0"/>
                <w:sz w:val="28"/>
                <w:szCs w:val="28"/>
                <w:lang w:val="uk-UA"/>
              </w:rPr>
              <w:t>655</w:t>
            </w:r>
          </w:p>
        </w:tc>
      </w:tr>
      <w:tr w:rsidR="009F6081" w:rsidRPr="007E0AC1">
        <w:trPr>
          <w:jc w:val="center"/>
        </w:trPr>
        <w:tc>
          <w:tcPr>
            <w:tcW w:w="1196" w:type="dxa"/>
            <w:noWrap/>
          </w:tcPr>
          <w:p w:rsidR="009F6081" w:rsidRPr="007E0AC1" w:rsidRDefault="009F6081" w:rsidP="00282095">
            <w:pPr>
              <w:jc w:val="center"/>
              <w:rPr>
                <w:bCs/>
                <w:spacing w:val="0"/>
                <w:sz w:val="28"/>
                <w:szCs w:val="28"/>
                <w:lang w:val="uk-UA"/>
              </w:rPr>
            </w:pPr>
            <w:r w:rsidRPr="007E0AC1">
              <w:rPr>
                <w:bCs/>
                <w:color w:val="000000"/>
                <w:spacing w:val="0"/>
                <w:sz w:val="28"/>
                <w:szCs w:val="28"/>
                <w:lang w:val="uk-UA"/>
              </w:rPr>
              <w:t>01.08.08</w:t>
            </w:r>
          </w:p>
        </w:tc>
        <w:tc>
          <w:tcPr>
            <w:tcW w:w="3060" w:type="dxa"/>
            <w:noWrap/>
          </w:tcPr>
          <w:p w:rsidR="009F6081" w:rsidRPr="007E0AC1" w:rsidRDefault="009F6081" w:rsidP="00ED4557">
            <w:pPr>
              <w:jc w:val="center"/>
              <w:rPr>
                <w:spacing w:val="0"/>
                <w:sz w:val="28"/>
                <w:szCs w:val="28"/>
                <w:lang w:val="uk-UA"/>
              </w:rPr>
            </w:pPr>
            <w:r w:rsidRPr="007E0AC1">
              <w:rPr>
                <w:color w:val="000000"/>
                <w:spacing w:val="0"/>
                <w:sz w:val="28"/>
                <w:szCs w:val="28"/>
                <w:lang w:val="uk-UA"/>
              </w:rPr>
              <w:t>93,42</w:t>
            </w:r>
          </w:p>
        </w:tc>
        <w:tc>
          <w:tcPr>
            <w:tcW w:w="2160" w:type="dxa"/>
            <w:noWrap/>
          </w:tcPr>
          <w:p w:rsidR="009F6081" w:rsidRPr="007E0AC1" w:rsidRDefault="009F6081" w:rsidP="00ED4557">
            <w:pPr>
              <w:jc w:val="center"/>
              <w:rPr>
                <w:spacing w:val="0"/>
                <w:sz w:val="28"/>
                <w:szCs w:val="28"/>
                <w:lang w:val="uk-UA"/>
              </w:rPr>
            </w:pPr>
            <w:r w:rsidRPr="007E0AC1">
              <w:rPr>
                <w:color w:val="000000"/>
                <w:spacing w:val="0"/>
                <w:sz w:val="28"/>
                <w:szCs w:val="28"/>
                <w:lang w:val="uk-UA"/>
              </w:rPr>
              <w:t>509,5</w:t>
            </w:r>
          </w:p>
        </w:tc>
        <w:tc>
          <w:tcPr>
            <w:tcW w:w="1800" w:type="dxa"/>
            <w:noWrap/>
            <w:vAlign w:val="bottom"/>
          </w:tcPr>
          <w:p w:rsidR="009F6081" w:rsidRPr="007E0AC1" w:rsidRDefault="009F6081" w:rsidP="009F6081">
            <w:pPr>
              <w:jc w:val="center"/>
              <w:rPr>
                <w:spacing w:val="0"/>
                <w:sz w:val="28"/>
                <w:szCs w:val="28"/>
                <w:lang w:val="uk-UA"/>
              </w:rPr>
            </w:pPr>
            <w:r w:rsidRPr="007E0AC1">
              <w:rPr>
                <w:spacing w:val="0"/>
                <w:sz w:val="28"/>
                <w:szCs w:val="28"/>
                <w:lang w:val="uk-UA"/>
              </w:rPr>
              <w:t>114,8</w:t>
            </w:r>
          </w:p>
        </w:tc>
        <w:tc>
          <w:tcPr>
            <w:tcW w:w="1198" w:type="dxa"/>
            <w:noWrap/>
          </w:tcPr>
          <w:p w:rsidR="009F6081" w:rsidRPr="007E0AC1" w:rsidRDefault="009F6081" w:rsidP="00ED4557">
            <w:pPr>
              <w:jc w:val="center"/>
              <w:rPr>
                <w:spacing w:val="0"/>
                <w:sz w:val="28"/>
                <w:szCs w:val="28"/>
                <w:lang w:val="uk-UA"/>
              </w:rPr>
            </w:pPr>
            <w:r w:rsidRPr="007E0AC1">
              <w:rPr>
                <w:color w:val="000000"/>
                <w:spacing w:val="0"/>
                <w:sz w:val="28"/>
                <w:szCs w:val="28"/>
                <w:lang w:val="uk-UA"/>
              </w:rPr>
              <w:t>533,7</w:t>
            </w:r>
          </w:p>
        </w:tc>
      </w:tr>
      <w:tr w:rsidR="009F6081" w:rsidRPr="007E0AC1">
        <w:trPr>
          <w:jc w:val="center"/>
        </w:trPr>
        <w:tc>
          <w:tcPr>
            <w:tcW w:w="1196" w:type="dxa"/>
            <w:noWrap/>
          </w:tcPr>
          <w:p w:rsidR="009F6081" w:rsidRPr="007E0AC1" w:rsidRDefault="009F6081" w:rsidP="00282095">
            <w:pPr>
              <w:jc w:val="center"/>
              <w:rPr>
                <w:bCs/>
                <w:spacing w:val="0"/>
                <w:sz w:val="28"/>
                <w:szCs w:val="28"/>
                <w:lang w:val="uk-UA"/>
              </w:rPr>
            </w:pPr>
            <w:r w:rsidRPr="007E0AC1">
              <w:rPr>
                <w:bCs/>
                <w:color w:val="000000"/>
                <w:spacing w:val="0"/>
                <w:sz w:val="28"/>
                <w:szCs w:val="28"/>
                <w:lang w:val="uk-UA"/>
              </w:rPr>
              <w:t>01.09.08</w:t>
            </w:r>
          </w:p>
        </w:tc>
        <w:tc>
          <w:tcPr>
            <w:tcW w:w="3060" w:type="dxa"/>
            <w:noWrap/>
          </w:tcPr>
          <w:p w:rsidR="009F6081" w:rsidRPr="007E0AC1" w:rsidRDefault="009F6081" w:rsidP="00ED4557">
            <w:pPr>
              <w:jc w:val="center"/>
              <w:rPr>
                <w:spacing w:val="0"/>
                <w:sz w:val="28"/>
                <w:szCs w:val="28"/>
                <w:lang w:val="uk-UA"/>
              </w:rPr>
            </w:pPr>
            <w:r w:rsidRPr="007E0AC1">
              <w:rPr>
                <w:color w:val="000000"/>
                <w:spacing w:val="0"/>
                <w:sz w:val="28"/>
                <w:szCs w:val="28"/>
                <w:lang w:val="uk-UA"/>
              </w:rPr>
              <w:t>89,59</w:t>
            </w:r>
          </w:p>
        </w:tc>
        <w:tc>
          <w:tcPr>
            <w:tcW w:w="2160" w:type="dxa"/>
            <w:noWrap/>
          </w:tcPr>
          <w:p w:rsidR="009F6081" w:rsidRPr="007E0AC1" w:rsidRDefault="009F6081" w:rsidP="00ED4557">
            <w:pPr>
              <w:jc w:val="center"/>
              <w:rPr>
                <w:spacing w:val="0"/>
                <w:sz w:val="28"/>
                <w:szCs w:val="28"/>
                <w:lang w:val="uk-UA"/>
              </w:rPr>
            </w:pPr>
            <w:r w:rsidRPr="007E0AC1">
              <w:rPr>
                <w:color w:val="000000"/>
                <w:spacing w:val="0"/>
                <w:sz w:val="28"/>
                <w:szCs w:val="28"/>
                <w:lang w:val="uk-UA"/>
              </w:rPr>
              <w:t>513,6</w:t>
            </w:r>
          </w:p>
        </w:tc>
        <w:tc>
          <w:tcPr>
            <w:tcW w:w="1800" w:type="dxa"/>
            <w:noWrap/>
            <w:vAlign w:val="bottom"/>
          </w:tcPr>
          <w:p w:rsidR="009F6081" w:rsidRPr="007E0AC1" w:rsidRDefault="009F6081" w:rsidP="009F6081">
            <w:pPr>
              <w:jc w:val="center"/>
              <w:rPr>
                <w:spacing w:val="0"/>
                <w:sz w:val="28"/>
                <w:szCs w:val="28"/>
                <w:lang w:val="uk-UA"/>
              </w:rPr>
            </w:pPr>
            <w:r w:rsidRPr="007E0AC1">
              <w:rPr>
                <w:spacing w:val="0"/>
                <w:sz w:val="28"/>
                <w:szCs w:val="28"/>
                <w:lang w:val="uk-UA"/>
              </w:rPr>
              <w:t>116,1</w:t>
            </w:r>
          </w:p>
        </w:tc>
        <w:tc>
          <w:tcPr>
            <w:tcW w:w="1198" w:type="dxa"/>
            <w:noWrap/>
          </w:tcPr>
          <w:p w:rsidR="009F6081" w:rsidRPr="007E0AC1" w:rsidRDefault="009F6081" w:rsidP="00ED4557">
            <w:pPr>
              <w:jc w:val="center"/>
              <w:rPr>
                <w:spacing w:val="0"/>
                <w:sz w:val="28"/>
                <w:szCs w:val="28"/>
                <w:lang w:val="uk-UA"/>
              </w:rPr>
            </w:pPr>
            <w:r w:rsidRPr="007E0AC1">
              <w:rPr>
                <w:color w:val="000000"/>
                <w:spacing w:val="0"/>
                <w:sz w:val="28"/>
                <w:szCs w:val="28"/>
                <w:lang w:val="uk-UA"/>
              </w:rPr>
              <w:t>369,5</w:t>
            </w:r>
          </w:p>
        </w:tc>
      </w:tr>
      <w:tr w:rsidR="009F6081" w:rsidRPr="007E0AC1">
        <w:trPr>
          <w:jc w:val="center"/>
        </w:trPr>
        <w:tc>
          <w:tcPr>
            <w:tcW w:w="1196" w:type="dxa"/>
            <w:noWrap/>
          </w:tcPr>
          <w:p w:rsidR="009F6081" w:rsidRPr="007E0AC1" w:rsidRDefault="009F6081" w:rsidP="00282095">
            <w:pPr>
              <w:jc w:val="center"/>
              <w:rPr>
                <w:bCs/>
                <w:spacing w:val="0"/>
                <w:sz w:val="28"/>
                <w:szCs w:val="28"/>
                <w:lang w:val="uk-UA"/>
              </w:rPr>
            </w:pPr>
            <w:r w:rsidRPr="007E0AC1">
              <w:rPr>
                <w:bCs/>
                <w:color w:val="000000"/>
                <w:spacing w:val="0"/>
                <w:sz w:val="28"/>
                <w:szCs w:val="28"/>
                <w:lang w:val="uk-UA"/>
              </w:rPr>
              <w:t>01.10.08</w:t>
            </w:r>
          </w:p>
        </w:tc>
        <w:tc>
          <w:tcPr>
            <w:tcW w:w="3060" w:type="dxa"/>
            <w:noWrap/>
          </w:tcPr>
          <w:p w:rsidR="009F6081" w:rsidRPr="007E0AC1" w:rsidRDefault="009F6081" w:rsidP="00ED4557">
            <w:pPr>
              <w:jc w:val="center"/>
              <w:rPr>
                <w:spacing w:val="0"/>
                <w:sz w:val="28"/>
                <w:szCs w:val="28"/>
                <w:lang w:val="uk-UA"/>
              </w:rPr>
            </w:pPr>
            <w:r w:rsidRPr="007E0AC1">
              <w:rPr>
                <w:color w:val="000000"/>
                <w:spacing w:val="0"/>
                <w:sz w:val="28"/>
                <w:szCs w:val="28"/>
                <w:lang w:val="uk-UA"/>
              </w:rPr>
              <w:t>82,78</w:t>
            </w:r>
          </w:p>
        </w:tc>
        <w:tc>
          <w:tcPr>
            <w:tcW w:w="2160" w:type="dxa"/>
            <w:noWrap/>
          </w:tcPr>
          <w:p w:rsidR="009F6081" w:rsidRPr="007E0AC1" w:rsidRDefault="009F6081" w:rsidP="00ED4557">
            <w:pPr>
              <w:jc w:val="center"/>
              <w:rPr>
                <w:spacing w:val="0"/>
                <w:sz w:val="28"/>
                <w:szCs w:val="28"/>
                <w:lang w:val="uk-UA"/>
              </w:rPr>
            </w:pPr>
            <w:r w:rsidRPr="007E0AC1">
              <w:rPr>
                <w:color w:val="000000"/>
                <w:spacing w:val="0"/>
                <w:sz w:val="28"/>
                <w:szCs w:val="28"/>
                <w:lang w:val="uk-UA"/>
              </w:rPr>
              <w:t>530,1</w:t>
            </w:r>
          </w:p>
        </w:tc>
        <w:tc>
          <w:tcPr>
            <w:tcW w:w="1800" w:type="dxa"/>
            <w:noWrap/>
            <w:vAlign w:val="bottom"/>
          </w:tcPr>
          <w:p w:rsidR="009F6081" w:rsidRPr="007E0AC1" w:rsidRDefault="009F6081" w:rsidP="009F6081">
            <w:pPr>
              <w:jc w:val="center"/>
              <w:rPr>
                <w:spacing w:val="0"/>
                <w:sz w:val="28"/>
                <w:szCs w:val="28"/>
                <w:lang w:val="uk-UA"/>
              </w:rPr>
            </w:pPr>
            <w:r w:rsidRPr="007E0AC1">
              <w:rPr>
                <w:spacing w:val="0"/>
                <w:sz w:val="28"/>
                <w:szCs w:val="28"/>
                <w:lang w:val="uk-UA"/>
              </w:rPr>
              <w:t>118,0</w:t>
            </w:r>
          </w:p>
        </w:tc>
        <w:tc>
          <w:tcPr>
            <w:tcW w:w="1198" w:type="dxa"/>
            <w:noWrap/>
          </w:tcPr>
          <w:p w:rsidR="009F6081" w:rsidRPr="007E0AC1" w:rsidRDefault="009F6081" w:rsidP="00ED4557">
            <w:pPr>
              <w:jc w:val="center"/>
              <w:rPr>
                <w:spacing w:val="0"/>
                <w:sz w:val="28"/>
                <w:szCs w:val="28"/>
                <w:lang w:val="uk-UA"/>
              </w:rPr>
            </w:pPr>
            <w:r w:rsidRPr="007E0AC1">
              <w:rPr>
                <w:color w:val="000000"/>
                <w:spacing w:val="0"/>
                <w:sz w:val="28"/>
                <w:szCs w:val="28"/>
                <w:lang w:val="uk-UA"/>
              </w:rPr>
              <w:t>252,3</w:t>
            </w:r>
          </w:p>
        </w:tc>
      </w:tr>
      <w:tr w:rsidR="009F6081" w:rsidRPr="007E0AC1">
        <w:trPr>
          <w:jc w:val="center"/>
        </w:trPr>
        <w:tc>
          <w:tcPr>
            <w:tcW w:w="1196" w:type="dxa"/>
            <w:noWrap/>
          </w:tcPr>
          <w:p w:rsidR="009F6081" w:rsidRPr="007E0AC1" w:rsidRDefault="009F6081" w:rsidP="00282095">
            <w:pPr>
              <w:jc w:val="center"/>
              <w:rPr>
                <w:bCs/>
                <w:spacing w:val="0"/>
                <w:sz w:val="28"/>
                <w:szCs w:val="28"/>
                <w:lang w:val="uk-UA"/>
              </w:rPr>
            </w:pPr>
            <w:r w:rsidRPr="007E0AC1">
              <w:rPr>
                <w:bCs/>
                <w:color w:val="000000"/>
                <w:spacing w:val="0"/>
                <w:sz w:val="28"/>
                <w:szCs w:val="28"/>
                <w:lang w:val="uk-UA"/>
              </w:rPr>
              <w:t>01.11.08</w:t>
            </w:r>
          </w:p>
        </w:tc>
        <w:tc>
          <w:tcPr>
            <w:tcW w:w="3060" w:type="dxa"/>
            <w:noWrap/>
          </w:tcPr>
          <w:p w:rsidR="009F6081" w:rsidRPr="007E0AC1" w:rsidRDefault="009F6081" w:rsidP="00ED4557">
            <w:pPr>
              <w:jc w:val="center"/>
              <w:rPr>
                <w:spacing w:val="0"/>
                <w:sz w:val="28"/>
                <w:szCs w:val="28"/>
                <w:lang w:val="uk-UA"/>
              </w:rPr>
            </w:pPr>
            <w:r w:rsidRPr="007E0AC1">
              <w:rPr>
                <w:color w:val="000000"/>
                <w:spacing w:val="0"/>
                <w:sz w:val="28"/>
                <w:szCs w:val="28"/>
                <w:lang w:val="uk-UA"/>
              </w:rPr>
              <w:t>70,20</w:t>
            </w:r>
          </w:p>
        </w:tc>
        <w:tc>
          <w:tcPr>
            <w:tcW w:w="2160" w:type="dxa"/>
            <w:noWrap/>
          </w:tcPr>
          <w:p w:rsidR="009F6081" w:rsidRPr="007E0AC1" w:rsidRDefault="009F6081" w:rsidP="00ED4557">
            <w:pPr>
              <w:jc w:val="center"/>
              <w:rPr>
                <w:spacing w:val="0"/>
                <w:sz w:val="28"/>
                <w:szCs w:val="28"/>
                <w:lang w:val="uk-UA"/>
              </w:rPr>
            </w:pPr>
            <w:r w:rsidRPr="007E0AC1">
              <w:rPr>
                <w:color w:val="000000"/>
                <w:spacing w:val="0"/>
                <w:sz w:val="28"/>
                <w:szCs w:val="28"/>
                <w:lang w:val="uk-UA"/>
              </w:rPr>
              <w:t>639,9</w:t>
            </w:r>
          </w:p>
        </w:tc>
        <w:tc>
          <w:tcPr>
            <w:tcW w:w="1800" w:type="dxa"/>
            <w:noWrap/>
            <w:vAlign w:val="bottom"/>
          </w:tcPr>
          <w:p w:rsidR="009F6081" w:rsidRPr="007E0AC1" w:rsidRDefault="009F6081" w:rsidP="009F6081">
            <w:pPr>
              <w:jc w:val="center"/>
              <w:rPr>
                <w:spacing w:val="0"/>
                <w:sz w:val="28"/>
                <w:szCs w:val="28"/>
                <w:lang w:val="uk-UA"/>
              </w:rPr>
            </w:pPr>
            <w:r w:rsidRPr="007E0AC1">
              <w:rPr>
                <w:spacing w:val="0"/>
                <w:sz w:val="28"/>
                <w:szCs w:val="28"/>
                <w:lang w:val="uk-UA"/>
              </w:rPr>
              <w:t>119,8</w:t>
            </w:r>
          </w:p>
        </w:tc>
        <w:tc>
          <w:tcPr>
            <w:tcW w:w="1198" w:type="dxa"/>
            <w:noWrap/>
          </w:tcPr>
          <w:p w:rsidR="009F6081" w:rsidRPr="007E0AC1" w:rsidRDefault="009F6081" w:rsidP="00ED4557">
            <w:pPr>
              <w:jc w:val="center"/>
              <w:rPr>
                <w:spacing w:val="0"/>
                <w:sz w:val="28"/>
                <w:szCs w:val="28"/>
                <w:lang w:val="uk-UA"/>
              </w:rPr>
            </w:pPr>
            <w:r w:rsidRPr="007E0AC1">
              <w:rPr>
                <w:color w:val="000000"/>
                <w:spacing w:val="0"/>
                <w:sz w:val="28"/>
                <w:szCs w:val="28"/>
                <w:lang w:val="uk-UA"/>
              </w:rPr>
              <w:t>239,6</w:t>
            </w:r>
          </w:p>
        </w:tc>
      </w:tr>
      <w:tr w:rsidR="009F6081" w:rsidRPr="007E0AC1">
        <w:trPr>
          <w:jc w:val="center"/>
        </w:trPr>
        <w:tc>
          <w:tcPr>
            <w:tcW w:w="1196" w:type="dxa"/>
            <w:noWrap/>
          </w:tcPr>
          <w:p w:rsidR="009F6081" w:rsidRPr="007E0AC1" w:rsidRDefault="009F6081" w:rsidP="00282095">
            <w:pPr>
              <w:jc w:val="center"/>
              <w:rPr>
                <w:bCs/>
                <w:spacing w:val="0"/>
                <w:sz w:val="28"/>
                <w:szCs w:val="28"/>
                <w:lang w:val="uk-UA"/>
              </w:rPr>
            </w:pPr>
            <w:r w:rsidRPr="007E0AC1">
              <w:rPr>
                <w:bCs/>
                <w:color w:val="000000"/>
                <w:spacing w:val="0"/>
                <w:sz w:val="28"/>
                <w:szCs w:val="28"/>
                <w:lang w:val="uk-UA"/>
              </w:rPr>
              <w:t>01.12.08</w:t>
            </w:r>
          </w:p>
        </w:tc>
        <w:tc>
          <w:tcPr>
            <w:tcW w:w="3060" w:type="dxa"/>
            <w:noWrap/>
          </w:tcPr>
          <w:p w:rsidR="009F6081" w:rsidRPr="007E0AC1" w:rsidRDefault="009F6081" w:rsidP="00ED4557">
            <w:pPr>
              <w:jc w:val="center"/>
              <w:rPr>
                <w:spacing w:val="0"/>
                <w:sz w:val="28"/>
                <w:szCs w:val="28"/>
                <w:lang w:val="uk-UA"/>
              </w:rPr>
            </w:pPr>
            <w:r w:rsidRPr="007E0AC1">
              <w:rPr>
                <w:color w:val="000000"/>
                <w:spacing w:val="0"/>
                <w:sz w:val="28"/>
                <w:szCs w:val="28"/>
                <w:lang w:val="uk-UA"/>
              </w:rPr>
              <w:t>72,44</w:t>
            </w:r>
          </w:p>
        </w:tc>
        <w:tc>
          <w:tcPr>
            <w:tcW w:w="2160" w:type="dxa"/>
            <w:noWrap/>
          </w:tcPr>
          <w:p w:rsidR="009F6081" w:rsidRPr="007E0AC1" w:rsidRDefault="009F6081" w:rsidP="00ED4557">
            <w:pPr>
              <w:jc w:val="center"/>
              <w:rPr>
                <w:spacing w:val="0"/>
                <w:sz w:val="28"/>
                <w:szCs w:val="28"/>
                <w:lang w:val="uk-UA"/>
              </w:rPr>
            </w:pPr>
            <w:r w:rsidRPr="007E0AC1">
              <w:rPr>
                <w:color w:val="000000"/>
                <w:spacing w:val="0"/>
                <w:sz w:val="28"/>
                <w:szCs w:val="28"/>
                <w:lang w:val="uk-UA"/>
              </w:rPr>
              <w:t>844,9</w:t>
            </w:r>
          </w:p>
        </w:tc>
        <w:tc>
          <w:tcPr>
            <w:tcW w:w="1800" w:type="dxa"/>
            <w:noWrap/>
            <w:vAlign w:val="bottom"/>
          </w:tcPr>
          <w:p w:rsidR="009F6081" w:rsidRPr="007E0AC1" w:rsidRDefault="009F6081" w:rsidP="009F6081">
            <w:pPr>
              <w:jc w:val="center"/>
              <w:rPr>
                <w:spacing w:val="0"/>
                <w:sz w:val="28"/>
                <w:szCs w:val="28"/>
                <w:lang w:val="uk-UA"/>
              </w:rPr>
            </w:pPr>
            <w:r w:rsidRPr="007E0AC1">
              <w:rPr>
                <w:spacing w:val="0"/>
                <w:sz w:val="28"/>
                <w:szCs w:val="28"/>
                <w:lang w:val="uk-UA"/>
              </w:rPr>
              <w:t>122,3</w:t>
            </w:r>
          </w:p>
        </w:tc>
        <w:tc>
          <w:tcPr>
            <w:tcW w:w="1198" w:type="dxa"/>
            <w:noWrap/>
          </w:tcPr>
          <w:p w:rsidR="009F6081" w:rsidRPr="007E0AC1" w:rsidRDefault="009F6081" w:rsidP="00ED4557">
            <w:pPr>
              <w:jc w:val="center"/>
              <w:rPr>
                <w:spacing w:val="0"/>
                <w:sz w:val="28"/>
                <w:szCs w:val="28"/>
                <w:lang w:val="uk-UA"/>
              </w:rPr>
            </w:pPr>
            <w:r w:rsidRPr="007E0AC1">
              <w:rPr>
                <w:color w:val="000000"/>
                <w:spacing w:val="0"/>
                <w:sz w:val="28"/>
                <w:szCs w:val="28"/>
                <w:lang w:val="uk-UA"/>
              </w:rPr>
              <w:t>301,4</w:t>
            </w:r>
          </w:p>
        </w:tc>
      </w:tr>
      <w:tr w:rsidR="009F6081" w:rsidRPr="007E0AC1">
        <w:trPr>
          <w:jc w:val="center"/>
        </w:trPr>
        <w:tc>
          <w:tcPr>
            <w:tcW w:w="1196" w:type="dxa"/>
            <w:noWrap/>
          </w:tcPr>
          <w:p w:rsidR="009F6081" w:rsidRPr="007E0AC1" w:rsidRDefault="009F6081" w:rsidP="00282095">
            <w:pPr>
              <w:jc w:val="center"/>
              <w:rPr>
                <w:bCs/>
                <w:spacing w:val="0"/>
                <w:sz w:val="28"/>
                <w:szCs w:val="28"/>
                <w:lang w:val="uk-UA"/>
              </w:rPr>
            </w:pPr>
            <w:r w:rsidRPr="007E0AC1">
              <w:rPr>
                <w:bCs/>
                <w:color w:val="000000"/>
                <w:spacing w:val="0"/>
                <w:sz w:val="28"/>
                <w:szCs w:val="28"/>
                <w:lang w:val="uk-UA"/>
              </w:rPr>
              <w:t>01.01.09</w:t>
            </w:r>
          </w:p>
        </w:tc>
        <w:tc>
          <w:tcPr>
            <w:tcW w:w="3060" w:type="dxa"/>
            <w:noWrap/>
          </w:tcPr>
          <w:p w:rsidR="009F6081" w:rsidRPr="007E0AC1" w:rsidRDefault="009F6081" w:rsidP="00ED4557">
            <w:pPr>
              <w:jc w:val="center"/>
              <w:rPr>
                <w:spacing w:val="0"/>
                <w:sz w:val="28"/>
                <w:szCs w:val="28"/>
                <w:lang w:val="uk-UA"/>
              </w:rPr>
            </w:pPr>
            <w:r w:rsidRPr="007E0AC1">
              <w:rPr>
                <w:color w:val="000000"/>
                <w:spacing w:val="0"/>
                <w:sz w:val="28"/>
                <w:szCs w:val="28"/>
                <w:lang w:val="uk-UA"/>
              </w:rPr>
              <w:t>57,73</w:t>
            </w:r>
          </w:p>
        </w:tc>
        <w:tc>
          <w:tcPr>
            <w:tcW w:w="2160" w:type="dxa"/>
            <w:noWrap/>
          </w:tcPr>
          <w:p w:rsidR="009F6081" w:rsidRPr="007E0AC1" w:rsidRDefault="009F6081" w:rsidP="00ED4557">
            <w:pPr>
              <w:jc w:val="center"/>
              <w:rPr>
                <w:spacing w:val="0"/>
                <w:sz w:val="28"/>
                <w:szCs w:val="28"/>
                <w:lang w:val="uk-UA"/>
              </w:rPr>
            </w:pPr>
            <w:r w:rsidRPr="007E0AC1">
              <w:rPr>
                <w:color w:val="000000"/>
                <w:spacing w:val="0"/>
                <w:sz w:val="28"/>
                <w:szCs w:val="28"/>
                <w:lang w:val="uk-UA"/>
              </w:rPr>
              <w:t>900,6</w:t>
            </w:r>
          </w:p>
        </w:tc>
        <w:tc>
          <w:tcPr>
            <w:tcW w:w="1800" w:type="dxa"/>
            <w:noWrap/>
            <w:vAlign w:val="bottom"/>
          </w:tcPr>
          <w:p w:rsidR="009F6081" w:rsidRPr="007E0AC1" w:rsidRDefault="009F6081" w:rsidP="009F6081">
            <w:pPr>
              <w:jc w:val="center"/>
              <w:rPr>
                <w:spacing w:val="0"/>
                <w:sz w:val="28"/>
                <w:szCs w:val="28"/>
                <w:lang w:val="uk-UA"/>
              </w:rPr>
            </w:pPr>
            <w:r w:rsidRPr="007E0AC1">
              <w:rPr>
                <w:spacing w:val="0"/>
                <w:sz w:val="28"/>
                <w:szCs w:val="28"/>
                <w:lang w:val="uk-UA"/>
              </w:rPr>
              <w:t>125,8</w:t>
            </w:r>
          </w:p>
        </w:tc>
        <w:tc>
          <w:tcPr>
            <w:tcW w:w="1198" w:type="dxa"/>
            <w:noWrap/>
          </w:tcPr>
          <w:p w:rsidR="009F6081" w:rsidRPr="007E0AC1" w:rsidRDefault="009F6081" w:rsidP="00ED4557">
            <w:pPr>
              <w:jc w:val="center"/>
              <w:rPr>
                <w:spacing w:val="0"/>
                <w:sz w:val="28"/>
                <w:szCs w:val="28"/>
                <w:lang w:val="uk-UA"/>
              </w:rPr>
            </w:pPr>
            <w:r w:rsidRPr="007E0AC1">
              <w:rPr>
                <w:color w:val="000000"/>
                <w:spacing w:val="0"/>
                <w:sz w:val="28"/>
                <w:szCs w:val="28"/>
                <w:lang w:val="uk-UA"/>
              </w:rPr>
              <w:t>274,6</w:t>
            </w:r>
          </w:p>
        </w:tc>
      </w:tr>
    </w:tbl>
    <w:p w:rsidR="007C4CCE" w:rsidRPr="007E0AC1" w:rsidRDefault="007C4CCE" w:rsidP="00C77905">
      <w:pPr>
        <w:autoSpaceDE w:val="0"/>
        <w:autoSpaceDN w:val="0"/>
        <w:adjustRightInd w:val="0"/>
        <w:ind w:firstLine="720"/>
        <w:jc w:val="both"/>
        <w:rPr>
          <w:spacing w:val="0"/>
          <w:sz w:val="28"/>
          <w:szCs w:val="28"/>
          <w:lang w:val="uk-UA"/>
        </w:rPr>
      </w:pPr>
    </w:p>
    <w:p w:rsidR="00DA37D4" w:rsidRPr="007E0AC1" w:rsidRDefault="00DA37D4" w:rsidP="00DA37D4">
      <w:pPr>
        <w:autoSpaceDE w:val="0"/>
        <w:autoSpaceDN w:val="0"/>
        <w:adjustRightInd w:val="0"/>
        <w:ind w:firstLine="720"/>
        <w:jc w:val="right"/>
        <w:rPr>
          <w:spacing w:val="0"/>
          <w:sz w:val="28"/>
          <w:szCs w:val="28"/>
          <w:lang w:val="uk-UA"/>
        </w:rPr>
      </w:pPr>
      <w:r w:rsidRPr="007E0AC1">
        <w:rPr>
          <w:spacing w:val="0"/>
          <w:sz w:val="28"/>
          <w:szCs w:val="28"/>
          <w:lang w:val="uk-UA"/>
        </w:rPr>
        <w:lastRenderedPageBreak/>
        <w:t>Таблиця 4</w:t>
      </w:r>
    </w:p>
    <w:p w:rsidR="00DA37D4" w:rsidRPr="007E0AC1" w:rsidRDefault="00DA37D4" w:rsidP="00DA37D4">
      <w:pPr>
        <w:autoSpaceDE w:val="0"/>
        <w:autoSpaceDN w:val="0"/>
        <w:adjustRightInd w:val="0"/>
        <w:ind w:firstLine="720"/>
        <w:jc w:val="center"/>
        <w:rPr>
          <w:spacing w:val="0"/>
          <w:sz w:val="28"/>
          <w:szCs w:val="28"/>
          <w:lang w:val="uk-UA"/>
        </w:rPr>
      </w:pPr>
      <w:r w:rsidRPr="007E0AC1">
        <w:rPr>
          <w:spacing w:val="0"/>
          <w:sz w:val="28"/>
          <w:szCs w:val="28"/>
          <w:lang w:val="uk-UA"/>
        </w:rPr>
        <w:t>Кореляційна матриця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70"/>
        <w:gridCol w:w="1971"/>
        <w:gridCol w:w="1971"/>
        <w:gridCol w:w="1971"/>
        <w:gridCol w:w="1971"/>
      </w:tblGrid>
      <w:tr w:rsidR="009A05D1" w:rsidRPr="00E15A6D" w:rsidTr="00E15A6D">
        <w:tc>
          <w:tcPr>
            <w:tcW w:w="1970" w:type="dxa"/>
          </w:tcPr>
          <w:p w:rsidR="006C1A22" w:rsidRPr="00E15A6D" w:rsidRDefault="006C1A22" w:rsidP="00E15A6D">
            <w:pPr>
              <w:autoSpaceDE w:val="0"/>
              <w:autoSpaceDN w:val="0"/>
              <w:adjustRightInd w:val="0"/>
              <w:jc w:val="center"/>
              <w:rPr>
                <w:spacing w:val="0"/>
                <w:sz w:val="28"/>
                <w:szCs w:val="28"/>
                <w:lang w:val="uk-UA"/>
              </w:rPr>
            </w:pPr>
            <w:r w:rsidRPr="00E15A6D">
              <w:rPr>
                <w:spacing w:val="0"/>
                <w:sz w:val="28"/>
                <w:szCs w:val="28"/>
                <w:lang w:val="uk-UA"/>
              </w:rPr>
              <w:t>Показники</w:t>
            </w:r>
          </w:p>
        </w:tc>
        <w:tc>
          <w:tcPr>
            <w:tcW w:w="1971" w:type="dxa"/>
          </w:tcPr>
          <w:p w:rsidR="006C1A22" w:rsidRPr="00E15A6D" w:rsidRDefault="006C1A22" w:rsidP="00E15A6D">
            <w:pPr>
              <w:autoSpaceDE w:val="0"/>
              <w:autoSpaceDN w:val="0"/>
              <w:adjustRightInd w:val="0"/>
              <w:jc w:val="center"/>
              <w:rPr>
                <w:spacing w:val="0"/>
                <w:sz w:val="28"/>
                <w:szCs w:val="28"/>
                <w:lang w:val="uk-UA"/>
              </w:rPr>
            </w:pPr>
            <w:r w:rsidRPr="00E15A6D">
              <w:rPr>
                <w:color w:val="000000"/>
                <w:spacing w:val="0"/>
                <w:sz w:val="28"/>
                <w:szCs w:val="28"/>
                <w:lang w:val="uk-UA"/>
              </w:rPr>
              <w:t>I</w:t>
            </w:r>
            <w:r w:rsidRPr="00E15A6D">
              <w:rPr>
                <w:color w:val="000000"/>
                <w:spacing w:val="0"/>
                <w:sz w:val="28"/>
                <w:szCs w:val="28"/>
                <w:vertAlign w:val="subscript"/>
                <w:lang w:val="uk-UA"/>
              </w:rPr>
              <w:t>п</w:t>
            </w:r>
          </w:p>
        </w:tc>
        <w:tc>
          <w:tcPr>
            <w:tcW w:w="1971" w:type="dxa"/>
          </w:tcPr>
          <w:p w:rsidR="006C1A22" w:rsidRPr="00E15A6D" w:rsidRDefault="006C1A22" w:rsidP="00E15A6D">
            <w:pPr>
              <w:autoSpaceDE w:val="0"/>
              <w:autoSpaceDN w:val="0"/>
              <w:adjustRightInd w:val="0"/>
              <w:jc w:val="center"/>
              <w:rPr>
                <w:spacing w:val="0"/>
                <w:sz w:val="28"/>
                <w:szCs w:val="28"/>
                <w:lang w:val="uk-UA"/>
              </w:rPr>
            </w:pPr>
            <w:r w:rsidRPr="00E15A6D">
              <w:rPr>
                <w:color w:val="000000"/>
                <w:spacing w:val="0"/>
                <w:sz w:val="28"/>
                <w:szCs w:val="28"/>
                <w:lang w:val="uk-UA"/>
              </w:rPr>
              <w:t>Б</w:t>
            </w:r>
          </w:p>
        </w:tc>
        <w:tc>
          <w:tcPr>
            <w:tcW w:w="1971" w:type="dxa"/>
          </w:tcPr>
          <w:p w:rsidR="006C1A22" w:rsidRPr="00E15A6D" w:rsidRDefault="006C1A22" w:rsidP="00E15A6D">
            <w:pPr>
              <w:autoSpaceDE w:val="0"/>
              <w:autoSpaceDN w:val="0"/>
              <w:adjustRightInd w:val="0"/>
              <w:jc w:val="center"/>
              <w:rPr>
                <w:spacing w:val="0"/>
                <w:sz w:val="28"/>
                <w:szCs w:val="28"/>
                <w:lang w:val="uk-UA"/>
              </w:rPr>
            </w:pPr>
            <w:r w:rsidRPr="00E15A6D">
              <w:rPr>
                <w:color w:val="000000"/>
                <w:spacing w:val="0"/>
                <w:sz w:val="28"/>
                <w:szCs w:val="28"/>
                <w:lang w:val="uk-UA"/>
              </w:rPr>
              <w:t>I</w:t>
            </w:r>
            <w:r w:rsidRPr="00E15A6D">
              <w:rPr>
                <w:color w:val="000000"/>
                <w:spacing w:val="0"/>
                <w:sz w:val="28"/>
                <w:szCs w:val="28"/>
                <w:vertAlign w:val="subscript"/>
                <w:lang w:val="uk-UA"/>
              </w:rPr>
              <w:t>ц</w:t>
            </w:r>
          </w:p>
        </w:tc>
        <w:tc>
          <w:tcPr>
            <w:tcW w:w="1971" w:type="dxa"/>
          </w:tcPr>
          <w:p w:rsidR="006C1A22" w:rsidRPr="00E15A6D" w:rsidRDefault="006C1A22" w:rsidP="00E15A6D">
            <w:pPr>
              <w:autoSpaceDE w:val="0"/>
              <w:autoSpaceDN w:val="0"/>
              <w:adjustRightInd w:val="0"/>
              <w:jc w:val="center"/>
              <w:rPr>
                <w:spacing w:val="0"/>
                <w:sz w:val="28"/>
                <w:szCs w:val="28"/>
                <w:lang w:val="uk-UA"/>
              </w:rPr>
            </w:pPr>
            <w:r w:rsidRPr="00E15A6D">
              <w:rPr>
                <w:color w:val="000000"/>
                <w:spacing w:val="0"/>
                <w:sz w:val="28"/>
                <w:szCs w:val="28"/>
                <w:lang w:val="uk-UA"/>
              </w:rPr>
              <w:t>I</w:t>
            </w:r>
            <w:r w:rsidRPr="00E15A6D">
              <w:rPr>
                <w:color w:val="000000"/>
                <w:spacing w:val="0"/>
                <w:sz w:val="28"/>
                <w:szCs w:val="28"/>
                <w:vertAlign w:val="subscript"/>
                <w:lang w:val="uk-UA"/>
              </w:rPr>
              <w:t>пфтс</w:t>
            </w:r>
          </w:p>
        </w:tc>
      </w:tr>
      <w:tr w:rsidR="009A05D1" w:rsidRPr="00E15A6D" w:rsidTr="00E15A6D">
        <w:tc>
          <w:tcPr>
            <w:tcW w:w="1970" w:type="dxa"/>
          </w:tcPr>
          <w:p w:rsidR="009F6081" w:rsidRPr="00E15A6D" w:rsidRDefault="009F6081" w:rsidP="00E15A6D">
            <w:pPr>
              <w:autoSpaceDE w:val="0"/>
              <w:autoSpaceDN w:val="0"/>
              <w:adjustRightInd w:val="0"/>
              <w:jc w:val="center"/>
              <w:rPr>
                <w:spacing w:val="0"/>
                <w:sz w:val="28"/>
                <w:szCs w:val="28"/>
                <w:lang w:val="uk-UA"/>
              </w:rPr>
            </w:pPr>
            <w:r w:rsidRPr="00E15A6D">
              <w:rPr>
                <w:color w:val="000000"/>
                <w:spacing w:val="0"/>
                <w:sz w:val="28"/>
                <w:szCs w:val="28"/>
                <w:lang w:val="uk-UA"/>
              </w:rPr>
              <w:t>I</w:t>
            </w:r>
            <w:r w:rsidRPr="00E15A6D">
              <w:rPr>
                <w:color w:val="000000"/>
                <w:spacing w:val="0"/>
                <w:sz w:val="28"/>
                <w:szCs w:val="28"/>
                <w:vertAlign w:val="subscript"/>
                <w:lang w:val="uk-UA"/>
              </w:rPr>
              <w:t>п</w:t>
            </w:r>
          </w:p>
        </w:tc>
        <w:tc>
          <w:tcPr>
            <w:tcW w:w="1971" w:type="dxa"/>
            <w:vAlign w:val="center"/>
          </w:tcPr>
          <w:p w:rsidR="009F6081" w:rsidRPr="00E15A6D" w:rsidRDefault="00A528F1" w:rsidP="00E15A6D">
            <w:pPr>
              <w:jc w:val="center"/>
              <w:rPr>
                <w:bCs/>
                <w:spacing w:val="0"/>
                <w:sz w:val="28"/>
                <w:szCs w:val="28"/>
                <w:lang w:val="uk-UA"/>
              </w:rPr>
            </w:pPr>
            <w:r w:rsidRPr="00E15A6D">
              <w:rPr>
                <w:bCs/>
                <w:spacing w:val="0"/>
                <w:sz w:val="28"/>
                <w:szCs w:val="28"/>
                <w:lang w:val="uk-UA"/>
              </w:rPr>
              <w:t>1,000</w:t>
            </w:r>
          </w:p>
        </w:tc>
        <w:tc>
          <w:tcPr>
            <w:tcW w:w="1971" w:type="dxa"/>
            <w:vAlign w:val="center"/>
          </w:tcPr>
          <w:p w:rsidR="009F6081" w:rsidRPr="00E15A6D" w:rsidRDefault="00A528F1" w:rsidP="00E15A6D">
            <w:pPr>
              <w:jc w:val="center"/>
              <w:rPr>
                <w:bCs/>
                <w:spacing w:val="0"/>
                <w:sz w:val="28"/>
                <w:szCs w:val="28"/>
                <w:lang w:val="uk-UA"/>
              </w:rPr>
            </w:pPr>
            <w:r w:rsidRPr="00E15A6D">
              <w:rPr>
                <w:bCs/>
                <w:spacing w:val="0"/>
                <w:sz w:val="28"/>
                <w:szCs w:val="28"/>
                <w:lang w:val="uk-UA"/>
              </w:rPr>
              <w:t>-0,752</w:t>
            </w:r>
          </w:p>
        </w:tc>
        <w:tc>
          <w:tcPr>
            <w:tcW w:w="1971" w:type="dxa"/>
            <w:vAlign w:val="center"/>
          </w:tcPr>
          <w:p w:rsidR="009F6081" w:rsidRPr="00E15A6D" w:rsidRDefault="00A528F1" w:rsidP="00E15A6D">
            <w:pPr>
              <w:jc w:val="center"/>
              <w:rPr>
                <w:bCs/>
                <w:spacing w:val="0"/>
                <w:sz w:val="28"/>
                <w:szCs w:val="28"/>
                <w:lang w:val="uk-UA"/>
              </w:rPr>
            </w:pPr>
            <w:r w:rsidRPr="00E15A6D">
              <w:rPr>
                <w:bCs/>
                <w:spacing w:val="0"/>
                <w:sz w:val="28"/>
                <w:szCs w:val="28"/>
                <w:lang w:val="uk-UA"/>
              </w:rPr>
              <w:t>-0,657</w:t>
            </w:r>
          </w:p>
        </w:tc>
        <w:tc>
          <w:tcPr>
            <w:tcW w:w="1971" w:type="dxa"/>
            <w:vAlign w:val="center"/>
          </w:tcPr>
          <w:p w:rsidR="009F6081" w:rsidRPr="00E15A6D" w:rsidRDefault="00A528F1" w:rsidP="00E15A6D">
            <w:pPr>
              <w:jc w:val="center"/>
              <w:rPr>
                <w:bCs/>
                <w:spacing w:val="0"/>
                <w:sz w:val="28"/>
                <w:szCs w:val="28"/>
                <w:lang w:val="uk-UA"/>
              </w:rPr>
            </w:pPr>
            <w:r w:rsidRPr="00E15A6D">
              <w:rPr>
                <w:bCs/>
                <w:spacing w:val="0"/>
                <w:sz w:val="28"/>
                <w:szCs w:val="28"/>
                <w:lang w:val="uk-UA"/>
              </w:rPr>
              <w:t>0,590</w:t>
            </w:r>
          </w:p>
        </w:tc>
      </w:tr>
      <w:tr w:rsidR="009A05D1" w:rsidRPr="00E15A6D" w:rsidTr="00E15A6D">
        <w:tc>
          <w:tcPr>
            <w:tcW w:w="1970" w:type="dxa"/>
          </w:tcPr>
          <w:p w:rsidR="009F6081" w:rsidRPr="00E15A6D" w:rsidRDefault="009F6081" w:rsidP="00E15A6D">
            <w:pPr>
              <w:autoSpaceDE w:val="0"/>
              <w:autoSpaceDN w:val="0"/>
              <w:adjustRightInd w:val="0"/>
              <w:jc w:val="center"/>
              <w:rPr>
                <w:spacing w:val="0"/>
                <w:sz w:val="28"/>
                <w:szCs w:val="28"/>
                <w:lang w:val="uk-UA"/>
              </w:rPr>
            </w:pPr>
            <w:r w:rsidRPr="00E15A6D">
              <w:rPr>
                <w:color w:val="000000"/>
                <w:spacing w:val="0"/>
                <w:sz w:val="28"/>
                <w:szCs w:val="28"/>
                <w:lang w:val="uk-UA"/>
              </w:rPr>
              <w:t>Б</w:t>
            </w:r>
          </w:p>
        </w:tc>
        <w:tc>
          <w:tcPr>
            <w:tcW w:w="1971" w:type="dxa"/>
            <w:vAlign w:val="center"/>
          </w:tcPr>
          <w:p w:rsidR="009F6081" w:rsidRPr="00E15A6D" w:rsidRDefault="00A528F1" w:rsidP="00E15A6D">
            <w:pPr>
              <w:jc w:val="center"/>
              <w:rPr>
                <w:bCs/>
                <w:spacing w:val="0"/>
                <w:sz w:val="28"/>
                <w:szCs w:val="28"/>
                <w:lang w:val="uk-UA"/>
              </w:rPr>
            </w:pPr>
            <w:r w:rsidRPr="00E15A6D">
              <w:rPr>
                <w:bCs/>
                <w:spacing w:val="0"/>
                <w:sz w:val="28"/>
                <w:szCs w:val="28"/>
                <w:lang w:val="uk-UA"/>
              </w:rPr>
              <w:t>-0,752</w:t>
            </w:r>
          </w:p>
        </w:tc>
        <w:tc>
          <w:tcPr>
            <w:tcW w:w="1971" w:type="dxa"/>
            <w:vAlign w:val="center"/>
          </w:tcPr>
          <w:p w:rsidR="009F6081" w:rsidRPr="00E15A6D" w:rsidRDefault="00A528F1" w:rsidP="00E15A6D">
            <w:pPr>
              <w:jc w:val="center"/>
              <w:rPr>
                <w:spacing w:val="0"/>
                <w:sz w:val="28"/>
                <w:szCs w:val="28"/>
                <w:lang w:val="uk-UA"/>
              </w:rPr>
            </w:pPr>
            <w:r w:rsidRPr="00E15A6D">
              <w:rPr>
                <w:spacing w:val="0"/>
                <w:sz w:val="28"/>
                <w:szCs w:val="28"/>
                <w:lang w:val="uk-UA"/>
              </w:rPr>
              <w:t>1,000</w:t>
            </w:r>
          </w:p>
        </w:tc>
        <w:tc>
          <w:tcPr>
            <w:tcW w:w="1971" w:type="dxa"/>
            <w:vAlign w:val="center"/>
          </w:tcPr>
          <w:p w:rsidR="009F6081" w:rsidRPr="00E15A6D" w:rsidRDefault="00A528F1" w:rsidP="00E15A6D">
            <w:pPr>
              <w:jc w:val="center"/>
              <w:rPr>
                <w:spacing w:val="0"/>
                <w:sz w:val="28"/>
                <w:szCs w:val="28"/>
                <w:lang w:val="uk-UA"/>
              </w:rPr>
            </w:pPr>
            <w:r w:rsidRPr="00E15A6D">
              <w:rPr>
                <w:spacing w:val="0"/>
                <w:sz w:val="28"/>
                <w:szCs w:val="28"/>
                <w:lang w:val="uk-UA"/>
              </w:rPr>
              <w:t>0,357</w:t>
            </w:r>
          </w:p>
        </w:tc>
        <w:tc>
          <w:tcPr>
            <w:tcW w:w="1971" w:type="dxa"/>
            <w:vAlign w:val="center"/>
          </w:tcPr>
          <w:p w:rsidR="009F6081" w:rsidRPr="00E15A6D" w:rsidRDefault="00A528F1" w:rsidP="00E15A6D">
            <w:pPr>
              <w:jc w:val="center"/>
              <w:rPr>
                <w:spacing w:val="0"/>
                <w:sz w:val="28"/>
                <w:szCs w:val="28"/>
                <w:lang w:val="uk-UA"/>
              </w:rPr>
            </w:pPr>
            <w:r w:rsidRPr="00E15A6D">
              <w:rPr>
                <w:spacing w:val="0"/>
                <w:sz w:val="28"/>
                <w:szCs w:val="28"/>
                <w:lang w:val="uk-UA"/>
              </w:rPr>
              <w:t>-0,164</w:t>
            </w:r>
          </w:p>
        </w:tc>
      </w:tr>
      <w:tr w:rsidR="009A05D1" w:rsidRPr="00E15A6D" w:rsidTr="00E15A6D">
        <w:tc>
          <w:tcPr>
            <w:tcW w:w="1970" w:type="dxa"/>
          </w:tcPr>
          <w:p w:rsidR="009F6081" w:rsidRPr="00E15A6D" w:rsidRDefault="009F6081" w:rsidP="00E15A6D">
            <w:pPr>
              <w:autoSpaceDE w:val="0"/>
              <w:autoSpaceDN w:val="0"/>
              <w:adjustRightInd w:val="0"/>
              <w:jc w:val="center"/>
              <w:rPr>
                <w:spacing w:val="0"/>
                <w:sz w:val="28"/>
                <w:szCs w:val="28"/>
                <w:lang w:val="uk-UA"/>
              </w:rPr>
            </w:pPr>
            <w:r w:rsidRPr="00E15A6D">
              <w:rPr>
                <w:color w:val="000000"/>
                <w:spacing w:val="0"/>
                <w:sz w:val="28"/>
                <w:szCs w:val="28"/>
                <w:lang w:val="uk-UA"/>
              </w:rPr>
              <w:t>I</w:t>
            </w:r>
            <w:r w:rsidRPr="00E15A6D">
              <w:rPr>
                <w:color w:val="000000"/>
                <w:spacing w:val="0"/>
                <w:sz w:val="28"/>
                <w:szCs w:val="28"/>
                <w:vertAlign w:val="subscript"/>
                <w:lang w:val="uk-UA"/>
              </w:rPr>
              <w:t>ц</w:t>
            </w:r>
          </w:p>
        </w:tc>
        <w:tc>
          <w:tcPr>
            <w:tcW w:w="1971" w:type="dxa"/>
            <w:vAlign w:val="center"/>
          </w:tcPr>
          <w:p w:rsidR="009F6081" w:rsidRPr="00E15A6D" w:rsidRDefault="00A528F1" w:rsidP="00E15A6D">
            <w:pPr>
              <w:jc w:val="center"/>
              <w:rPr>
                <w:bCs/>
                <w:spacing w:val="0"/>
                <w:sz w:val="28"/>
                <w:szCs w:val="28"/>
                <w:lang w:val="uk-UA"/>
              </w:rPr>
            </w:pPr>
            <w:r w:rsidRPr="00E15A6D">
              <w:rPr>
                <w:bCs/>
                <w:spacing w:val="0"/>
                <w:sz w:val="28"/>
                <w:szCs w:val="28"/>
                <w:lang w:val="uk-UA"/>
              </w:rPr>
              <w:t>-0,657</w:t>
            </w:r>
          </w:p>
        </w:tc>
        <w:tc>
          <w:tcPr>
            <w:tcW w:w="1971" w:type="dxa"/>
            <w:vAlign w:val="center"/>
          </w:tcPr>
          <w:p w:rsidR="009F6081" w:rsidRPr="00E15A6D" w:rsidRDefault="00A528F1" w:rsidP="00E15A6D">
            <w:pPr>
              <w:jc w:val="center"/>
              <w:rPr>
                <w:spacing w:val="0"/>
                <w:sz w:val="28"/>
                <w:szCs w:val="28"/>
                <w:lang w:val="uk-UA"/>
              </w:rPr>
            </w:pPr>
            <w:r w:rsidRPr="00E15A6D">
              <w:rPr>
                <w:spacing w:val="0"/>
                <w:sz w:val="28"/>
                <w:szCs w:val="28"/>
                <w:lang w:val="uk-UA"/>
              </w:rPr>
              <w:t>0,357</w:t>
            </w:r>
          </w:p>
        </w:tc>
        <w:tc>
          <w:tcPr>
            <w:tcW w:w="1971" w:type="dxa"/>
            <w:vAlign w:val="center"/>
          </w:tcPr>
          <w:p w:rsidR="009F6081" w:rsidRPr="00E15A6D" w:rsidRDefault="00A528F1" w:rsidP="00E15A6D">
            <w:pPr>
              <w:jc w:val="center"/>
              <w:rPr>
                <w:spacing w:val="0"/>
                <w:sz w:val="28"/>
                <w:szCs w:val="28"/>
                <w:lang w:val="uk-UA"/>
              </w:rPr>
            </w:pPr>
            <w:r w:rsidRPr="00E15A6D">
              <w:rPr>
                <w:spacing w:val="0"/>
                <w:sz w:val="28"/>
                <w:szCs w:val="28"/>
                <w:lang w:val="uk-UA"/>
              </w:rPr>
              <w:t>1,000</w:t>
            </w:r>
          </w:p>
        </w:tc>
        <w:tc>
          <w:tcPr>
            <w:tcW w:w="1971" w:type="dxa"/>
            <w:vAlign w:val="center"/>
          </w:tcPr>
          <w:p w:rsidR="009F6081" w:rsidRPr="00E15A6D" w:rsidRDefault="00A528F1" w:rsidP="00E15A6D">
            <w:pPr>
              <w:jc w:val="center"/>
              <w:rPr>
                <w:spacing w:val="0"/>
                <w:sz w:val="28"/>
                <w:szCs w:val="28"/>
                <w:lang w:val="uk-UA"/>
              </w:rPr>
            </w:pPr>
            <w:r w:rsidRPr="00E15A6D">
              <w:rPr>
                <w:spacing w:val="0"/>
                <w:sz w:val="28"/>
                <w:szCs w:val="28"/>
                <w:lang w:val="uk-UA"/>
              </w:rPr>
              <w:t>-0,839</w:t>
            </w:r>
          </w:p>
        </w:tc>
      </w:tr>
      <w:tr w:rsidR="009A05D1" w:rsidRPr="00E15A6D" w:rsidTr="00E15A6D">
        <w:tc>
          <w:tcPr>
            <w:tcW w:w="1970" w:type="dxa"/>
          </w:tcPr>
          <w:p w:rsidR="009F6081" w:rsidRPr="00E15A6D" w:rsidRDefault="009F6081" w:rsidP="00E15A6D">
            <w:pPr>
              <w:autoSpaceDE w:val="0"/>
              <w:autoSpaceDN w:val="0"/>
              <w:adjustRightInd w:val="0"/>
              <w:jc w:val="center"/>
              <w:rPr>
                <w:spacing w:val="0"/>
                <w:sz w:val="28"/>
                <w:szCs w:val="28"/>
                <w:lang w:val="uk-UA"/>
              </w:rPr>
            </w:pPr>
            <w:r w:rsidRPr="00E15A6D">
              <w:rPr>
                <w:color w:val="000000"/>
                <w:spacing w:val="0"/>
                <w:sz w:val="28"/>
                <w:szCs w:val="28"/>
                <w:lang w:val="uk-UA"/>
              </w:rPr>
              <w:t>I</w:t>
            </w:r>
            <w:r w:rsidRPr="00E15A6D">
              <w:rPr>
                <w:color w:val="000000"/>
                <w:spacing w:val="0"/>
                <w:sz w:val="28"/>
                <w:szCs w:val="28"/>
                <w:vertAlign w:val="subscript"/>
                <w:lang w:val="uk-UA"/>
              </w:rPr>
              <w:t>пфтс</w:t>
            </w:r>
          </w:p>
        </w:tc>
        <w:tc>
          <w:tcPr>
            <w:tcW w:w="1971" w:type="dxa"/>
            <w:vAlign w:val="center"/>
          </w:tcPr>
          <w:p w:rsidR="009F6081" w:rsidRPr="00E15A6D" w:rsidRDefault="00A528F1" w:rsidP="00E15A6D">
            <w:pPr>
              <w:jc w:val="center"/>
              <w:rPr>
                <w:bCs/>
                <w:spacing w:val="0"/>
                <w:sz w:val="28"/>
                <w:szCs w:val="28"/>
                <w:lang w:val="uk-UA"/>
              </w:rPr>
            </w:pPr>
            <w:r w:rsidRPr="00E15A6D">
              <w:rPr>
                <w:bCs/>
                <w:spacing w:val="0"/>
                <w:sz w:val="28"/>
                <w:szCs w:val="28"/>
                <w:lang w:val="uk-UA"/>
              </w:rPr>
              <w:t>0,590</w:t>
            </w:r>
          </w:p>
        </w:tc>
        <w:tc>
          <w:tcPr>
            <w:tcW w:w="1971" w:type="dxa"/>
            <w:vAlign w:val="center"/>
          </w:tcPr>
          <w:p w:rsidR="009F6081" w:rsidRPr="00E15A6D" w:rsidRDefault="00A528F1" w:rsidP="00E15A6D">
            <w:pPr>
              <w:jc w:val="center"/>
              <w:rPr>
                <w:spacing w:val="0"/>
                <w:sz w:val="28"/>
                <w:szCs w:val="28"/>
                <w:lang w:val="uk-UA"/>
              </w:rPr>
            </w:pPr>
            <w:r w:rsidRPr="00E15A6D">
              <w:rPr>
                <w:spacing w:val="0"/>
                <w:sz w:val="28"/>
                <w:szCs w:val="28"/>
                <w:lang w:val="uk-UA"/>
              </w:rPr>
              <w:t>-0,164</w:t>
            </w:r>
          </w:p>
        </w:tc>
        <w:tc>
          <w:tcPr>
            <w:tcW w:w="1971" w:type="dxa"/>
            <w:vAlign w:val="center"/>
          </w:tcPr>
          <w:p w:rsidR="009F6081" w:rsidRPr="00E15A6D" w:rsidRDefault="00A528F1" w:rsidP="00E15A6D">
            <w:pPr>
              <w:jc w:val="center"/>
              <w:rPr>
                <w:spacing w:val="0"/>
                <w:sz w:val="28"/>
                <w:szCs w:val="28"/>
                <w:lang w:val="uk-UA"/>
              </w:rPr>
            </w:pPr>
            <w:r w:rsidRPr="00E15A6D">
              <w:rPr>
                <w:spacing w:val="0"/>
                <w:sz w:val="28"/>
                <w:szCs w:val="28"/>
                <w:lang w:val="uk-UA"/>
              </w:rPr>
              <w:t>-0,839</w:t>
            </w:r>
          </w:p>
        </w:tc>
        <w:tc>
          <w:tcPr>
            <w:tcW w:w="1971" w:type="dxa"/>
            <w:vAlign w:val="center"/>
          </w:tcPr>
          <w:p w:rsidR="009F6081" w:rsidRPr="00E15A6D" w:rsidRDefault="00A528F1" w:rsidP="00E15A6D">
            <w:pPr>
              <w:jc w:val="center"/>
              <w:rPr>
                <w:spacing w:val="0"/>
                <w:sz w:val="28"/>
                <w:szCs w:val="28"/>
                <w:lang w:val="uk-UA"/>
              </w:rPr>
            </w:pPr>
            <w:r w:rsidRPr="00E15A6D">
              <w:rPr>
                <w:spacing w:val="0"/>
                <w:sz w:val="28"/>
                <w:szCs w:val="28"/>
                <w:lang w:val="uk-UA"/>
              </w:rPr>
              <w:t>1,000</w:t>
            </w:r>
          </w:p>
        </w:tc>
      </w:tr>
    </w:tbl>
    <w:p w:rsidR="006C1A22" w:rsidRPr="007E0AC1" w:rsidRDefault="006C1A22" w:rsidP="009F6081">
      <w:pPr>
        <w:autoSpaceDE w:val="0"/>
        <w:autoSpaceDN w:val="0"/>
        <w:adjustRightInd w:val="0"/>
        <w:ind w:firstLine="720"/>
        <w:jc w:val="both"/>
        <w:rPr>
          <w:spacing w:val="0"/>
          <w:sz w:val="28"/>
          <w:szCs w:val="28"/>
          <w:lang w:val="uk-UA"/>
        </w:rPr>
      </w:pPr>
    </w:p>
    <w:p w:rsidR="00912E74" w:rsidRPr="007E0AC1" w:rsidRDefault="00912E74" w:rsidP="009F6081">
      <w:pPr>
        <w:autoSpaceDE w:val="0"/>
        <w:autoSpaceDN w:val="0"/>
        <w:adjustRightInd w:val="0"/>
        <w:ind w:firstLine="720"/>
        <w:jc w:val="both"/>
        <w:rPr>
          <w:color w:val="000000"/>
          <w:spacing w:val="0"/>
          <w:sz w:val="28"/>
          <w:szCs w:val="28"/>
          <w:lang w:val="uk-UA"/>
        </w:rPr>
      </w:pPr>
      <w:r w:rsidRPr="007E0AC1">
        <w:rPr>
          <w:spacing w:val="0"/>
          <w:sz w:val="28"/>
          <w:szCs w:val="28"/>
          <w:lang w:val="uk-UA"/>
        </w:rPr>
        <w:t xml:space="preserve">Незначний зв'язок існує між індексом ПФТС і індексом промислового виробництва (0,590), але включати </w:t>
      </w:r>
      <w:r w:rsidRPr="007E0AC1">
        <w:rPr>
          <w:color w:val="000000"/>
          <w:spacing w:val="0"/>
          <w:sz w:val="28"/>
          <w:szCs w:val="28"/>
          <w:lang w:val="uk-UA"/>
        </w:rPr>
        <w:t>I</w:t>
      </w:r>
      <w:r w:rsidRPr="007E0AC1">
        <w:rPr>
          <w:color w:val="000000"/>
          <w:spacing w:val="0"/>
          <w:sz w:val="28"/>
          <w:szCs w:val="28"/>
          <w:vertAlign w:val="subscript"/>
          <w:lang w:val="uk-UA"/>
        </w:rPr>
        <w:t xml:space="preserve">п  </w:t>
      </w:r>
      <w:r w:rsidRPr="007E0AC1">
        <w:rPr>
          <w:color w:val="000000"/>
          <w:spacing w:val="0"/>
          <w:sz w:val="28"/>
          <w:szCs w:val="28"/>
          <w:lang w:val="uk-UA"/>
        </w:rPr>
        <w:t>у кореляційно-регресійну модель недоречно, оскільки він добре корелює з іншими факторами. Отримана модель є статистично значущою, що підтверджує t-c</w:t>
      </w:r>
      <w:r w:rsidR="009F4092" w:rsidRPr="007E0AC1">
        <w:rPr>
          <w:color w:val="000000"/>
          <w:spacing w:val="0"/>
          <w:sz w:val="28"/>
          <w:szCs w:val="28"/>
          <w:lang w:val="uk-UA"/>
        </w:rPr>
        <w:t>татистика та р-значення (табл. 5).</w:t>
      </w:r>
    </w:p>
    <w:p w:rsidR="00912E74" w:rsidRPr="007E0AC1" w:rsidRDefault="009F4092" w:rsidP="009F4092">
      <w:pPr>
        <w:autoSpaceDE w:val="0"/>
        <w:autoSpaceDN w:val="0"/>
        <w:adjustRightInd w:val="0"/>
        <w:ind w:firstLine="720"/>
        <w:jc w:val="right"/>
        <w:rPr>
          <w:spacing w:val="0"/>
          <w:sz w:val="28"/>
          <w:szCs w:val="28"/>
          <w:lang w:val="uk-UA"/>
        </w:rPr>
      </w:pPr>
      <w:r w:rsidRPr="007E0AC1">
        <w:rPr>
          <w:spacing w:val="0"/>
          <w:sz w:val="28"/>
          <w:szCs w:val="28"/>
          <w:lang w:val="uk-UA"/>
        </w:rPr>
        <w:t>Таблиця 5</w:t>
      </w:r>
    </w:p>
    <w:p w:rsidR="009F4092" w:rsidRPr="007E0AC1" w:rsidRDefault="009F4092" w:rsidP="009F4092">
      <w:pPr>
        <w:autoSpaceDE w:val="0"/>
        <w:autoSpaceDN w:val="0"/>
        <w:adjustRightInd w:val="0"/>
        <w:ind w:firstLine="720"/>
        <w:jc w:val="center"/>
        <w:rPr>
          <w:spacing w:val="0"/>
          <w:sz w:val="28"/>
          <w:szCs w:val="28"/>
          <w:lang w:val="uk-UA"/>
        </w:rPr>
      </w:pPr>
      <w:r w:rsidRPr="007E0AC1">
        <w:rPr>
          <w:spacing w:val="0"/>
          <w:sz w:val="28"/>
          <w:szCs w:val="28"/>
          <w:lang w:val="uk-UA"/>
        </w:rPr>
        <w:t>Результати регресії</w:t>
      </w:r>
    </w:p>
    <w:tbl>
      <w:tblPr>
        <w:tblW w:w="9740" w:type="dxa"/>
        <w:tblInd w:w="88" w:type="dxa"/>
        <w:tblLook w:val="0000"/>
      </w:tblPr>
      <w:tblGrid>
        <w:gridCol w:w="2720"/>
        <w:gridCol w:w="1980"/>
        <w:gridCol w:w="1620"/>
        <w:gridCol w:w="1800"/>
        <w:gridCol w:w="1620"/>
      </w:tblGrid>
      <w:tr w:rsidR="00912E74" w:rsidRPr="007E0AC1">
        <w:trPr>
          <w:trHeight w:val="255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E74" w:rsidRPr="007E0AC1" w:rsidRDefault="00912E74" w:rsidP="000017E0">
            <w:pPr>
              <w:jc w:val="center"/>
              <w:rPr>
                <w:iCs/>
                <w:spacing w:val="0"/>
                <w:sz w:val="28"/>
                <w:szCs w:val="28"/>
                <w:lang w:val="uk-UA"/>
              </w:rPr>
            </w:pPr>
            <w:r w:rsidRPr="007E0AC1">
              <w:rPr>
                <w:iCs/>
                <w:spacing w:val="0"/>
                <w:sz w:val="28"/>
                <w:szCs w:val="28"/>
                <w:lang w:val="uk-UA"/>
              </w:rPr>
              <w:t>Показники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E74" w:rsidRPr="007E0AC1" w:rsidRDefault="00912E74" w:rsidP="000017E0">
            <w:pPr>
              <w:jc w:val="center"/>
              <w:rPr>
                <w:iCs/>
                <w:spacing w:val="0"/>
                <w:sz w:val="28"/>
                <w:szCs w:val="28"/>
                <w:lang w:val="uk-UA"/>
              </w:rPr>
            </w:pPr>
            <w:r w:rsidRPr="007E0AC1">
              <w:rPr>
                <w:iCs/>
                <w:spacing w:val="0"/>
                <w:sz w:val="28"/>
                <w:szCs w:val="28"/>
                <w:lang w:val="uk-UA"/>
              </w:rPr>
              <w:t>Коефіцієнти регресії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E74" w:rsidRPr="007E0AC1" w:rsidRDefault="00912E74" w:rsidP="000017E0">
            <w:pPr>
              <w:jc w:val="center"/>
              <w:rPr>
                <w:iCs/>
                <w:spacing w:val="0"/>
                <w:sz w:val="28"/>
                <w:szCs w:val="28"/>
                <w:lang w:val="uk-UA"/>
              </w:rPr>
            </w:pPr>
            <w:r w:rsidRPr="007E0AC1">
              <w:rPr>
                <w:iCs/>
                <w:spacing w:val="0"/>
                <w:sz w:val="28"/>
                <w:szCs w:val="28"/>
                <w:lang w:val="uk-UA"/>
              </w:rPr>
              <w:t>Стандартна помилка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E74" w:rsidRPr="007E0AC1" w:rsidRDefault="00912E74" w:rsidP="000017E0">
            <w:pPr>
              <w:jc w:val="center"/>
              <w:rPr>
                <w:iCs/>
                <w:spacing w:val="0"/>
                <w:sz w:val="28"/>
                <w:szCs w:val="28"/>
                <w:lang w:val="uk-UA"/>
              </w:rPr>
            </w:pPr>
            <w:r w:rsidRPr="007E0AC1">
              <w:rPr>
                <w:iCs/>
                <w:spacing w:val="0"/>
                <w:sz w:val="28"/>
                <w:szCs w:val="28"/>
                <w:lang w:val="uk-UA"/>
              </w:rPr>
              <w:t>t-статистика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E74" w:rsidRPr="007E0AC1" w:rsidRDefault="00912E74" w:rsidP="000017E0">
            <w:pPr>
              <w:jc w:val="center"/>
              <w:rPr>
                <w:iCs/>
                <w:spacing w:val="0"/>
                <w:sz w:val="28"/>
                <w:szCs w:val="28"/>
                <w:lang w:val="uk-UA"/>
              </w:rPr>
            </w:pPr>
            <w:r w:rsidRPr="007E0AC1">
              <w:rPr>
                <w:iCs/>
                <w:spacing w:val="0"/>
                <w:sz w:val="28"/>
                <w:szCs w:val="28"/>
                <w:lang w:val="uk-UA"/>
              </w:rPr>
              <w:t>P-значення</w:t>
            </w:r>
          </w:p>
        </w:tc>
      </w:tr>
      <w:tr w:rsidR="00912E74" w:rsidRPr="007E0AC1">
        <w:trPr>
          <w:trHeight w:val="255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E74" w:rsidRPr="007E0AC1" w:rsidRDefault="00912E74" w:rsidP="00282095">
            <w:pPr>
              <w:rPr>
                <w:spacing w:val="0"/>
                <w:sz w:val="28"/>
                <w:szCs w:val="28"/>
                <w:lang w:val="uk-UA"/>
              </w:rPr>
            </w:pPr>
            <w:r w:rsidRPr="007E0AC1">
              <w:rPr>
                <w:spacing w:val="0"/>
                <w:sz w:val="28"/>
                <w:szCs w:val="28"/>
                <w:lang w:val="uk-UA"/>
              </w:rPr>
              <w:t>Y-пересічення</w:t>
            </w:r>
            <w:r w:rsidR="000017E0" w:rsidRPr="007E0AC1">
              <w:rPr>
                <w:spacing w:val="0"/>
                <w:sz w:val="28"/>
                <w:szCs w:val="28"/>
                <w:lang w:val="uk-UA"/>
              </w:rPr>
              <w:t xml:space="preserve"> </w:t>
            </w:r>
            <w:r w:rsidRPr="007E0AC1">
              <w:rPr>
                <w:color w:val="000000"/>
                <w:spacing w:val="0"/>
                <w:sz w:val="28"/>
                <w:szCs w:val="28"/>
                <w:lang w:val="uk-UA"/>
              </w:rPr>
              <w:t>(I</w:t>
            </w:r>
            <w:r w:rsidRPr="007E0AC1">
              <w:rPr>
                <w:color w:val="000000"/>
                <w:spacing w:val="0"/>
                <w:sz w:val="28"/>
                <w:szCs w:val="28"/>
                <w:vertAlign w:val="subscript"/>
                <w:lang w:val="uk-UA"/>
              </w:rPr>
              <w:t>пфтс</w:t>
            </w:r>
            <w:r w:rsidRPr="007E0AC1">
              <w:rPr>
                <w:color w:val="000000"/>
                <w:spacing w:val="0"/>
                <w:sz w:val="28"/>
                <w:szCs w:val="28"/>
                <w:lang w:val="uk-UA"/>
              </w:rPr>
              <w:t>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E74" w:rsidRPr="007E0AC1" w:rsidRDefault="00912E74" w:rsidP="00282095">
            <w:pPr>
              <w:jc w:val="center"/>
              <w:rPr>
                <w:spacing w:val="0"/>
                <w:sz w:val="28"/>
                <w:szCs w:val="28"/>
                <w:lang w:val="uk-UA"/>
              </w:rPr>
            </w:pPr>
            <w:r w:rsidRPr="007E0AC1">
              <w:rPr>
                <w:spacing w:val="0"/>
                <w:sz w:val="28"/>
                <w:szCs w:val="28"/>
                <w:lang w:val="uk-UA"/>
              </w:rPr>
              <w:t>5715,37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E74" w:rsidRPr="007E0AC1" w:rsidRDefault="000017E0" w:rsidP="00282095">
            <w:pPr>
              <w:jc w:val="center"/>
              <w:rPr>
                <w:spacing w:val="0"/>
                <w:sz w:val="28"/>
                <w:szCs w:val="28"/>
                <w:lang w:val="uk-UA"/>
              </w:rPr>
            </w:pPr>
            <w:r w:rsidRPr="007E0AC1">
              <w:rPr>
                <w:spacing w:val="0"/>
                <w:sz w:val="28"/>
                <w:szCs w:val="28"/>
                <w:lang w:val="uk-UA"/>
              </w:rPr>
              <w:t>1000,136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E74" w:rsidRPr="007E0AC1" w:rsidRDefault="000017E0" w:rsidP="00282095">
            <w:pPr>
              <w:jc w:val="center"/>
              <w:rPr>
                <w:spacing w:val="0"/>
                <w:sz w:val="28"/>
                <w:szCs w:val="28"/>
                <w:lang w:val="uk-UA"/>
              </w:rPr>
            </w:pPr>
            <w:r w:rsidRPr="007E0AC1">
              <w:rPr>
                <w:spacing w:val="0"/>
                <w:sz w:val="28"/>
                <w:szCs w:val="28"/>
                <w:lang w:val="uk-UA"/>
              </w:rPr>
              <w:t>5,715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E74" w:rsidRPr="007E0AC1" w:rsidRDefault="000017E0" w:rsidP="00282095">
            <w:pPr>
              <w:jc w:val="center"/>
              <w:rPr>
                <w:spacing w:val="0"/>
                <w:sz w:val="28"/>
                <w:szCs w:val="28"/>
                <w:lang w:val="uk-UA"/>
              </w:rPr>
            </w:pPr>
            <w:r w:rsidRPr="007E0AC1">
              <w:rPr>
                <w:spacing w:val="0"/>
                <w:sz w:val="28"/>
                <w:szCs w:val="28"/>
                <w:lang w:val="uk-UA"/>
              </w:rPr>
              <w:t>0,0001</w:t>
            </w:r>
          </w:p>
        </w:tc>
      </w:tr>
      <w:tr w:rsidR="00912E74" w:rsidRPr="007E0AC1">
        <w:trPr>
          <w:trHeight w:val="255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E74" w:rsidRPr="007E0AC1" w:rsidRDefault="00912E74" w:rsidP="00282095">
            <w:pPr>
              <w:rPr>
                <w:spacing w:val="0"/>
                <w:sz w:val="28"/>
                <w:szCs w:val="28"/>
                <w:lang w:val="uk-UA"/>
              </w:rPr>
            </w:pPr>
            <w:r w:rsidRPr="007E0AC1">
              <w:rPr>
                <w:spacing w:val="0"/>
                <w:sz w:val="28"/>
                <w:szCs w:val="28"/>
                <w:lang w:val="uk-UA"/>
              </w:rPr>
              <w:t>Фактор X</w:t>
            </w:r>
            <w:r w:rsidR="000017E0" w:rsidRPr="007E0AC1">
              <w:rPr>
                <w:spacing w:val="0"/>
                <w:sz w:val="28"/>
                <w:szCs w:val="28"/>
                <w:vertAlign w:val="subscript"/>
                <w:lang w:val="uk-UA"/>
              </w:rPr>
              <w:t xml:space="preserve"> </w:t>
            </w:r>
            <w:r w:rsidR="000017E0" w:rsidRPr="007E0AC1">
              <w:rPr>
                <w:spacing w:val="0"/>
                <w:sz w:val="28"/>
                <w:szCs w:val="28"/>
                <w:lang w:val="uk-UA"/>
              </w:rPr>
              <w:t>(</w:t>
            </w:r>
            <w:r w:rsidR="000017E0" w:rsidRPr="007E0AC1">
              <w:rPr>
                <w:color w:val="000000"/>
                <w:spacing w:val="0"/>
                <w:sz w:val="28"/>
                <w:szCs w:val="28"/>
                <w:lang w:val="uk-UA"/>
              </w:rPr>
              <w:t>I</w:t>
            </w:r>
            <w:r w:rsidR="000017E0" w:rsidRPr="007E0AC1">
              <w:rPr>
                <w:color w:val="000000"/>
                <w:spacing w:val="0"/>
                <w:sz w:val="28"/>
                <w:szCs w:val="28"/>
                <w:vertAlign w:val="subscript"/>
                <w:lang w:val="uk-UA"/>
              </w:rPr>
              <w:t>ц</w:t>
            </w:r>
            <w:r w:rsidR="000017E0" w:rsidRPr="007E0AC1">
              <w:rPr>
                <w:color w:val="000000"/>
                <w:spacing w:val="0"/>
                <w:sz w:val="28"/>
                <w:szCs w:val="28"/>
                <w:lang w:val="uk-UA"/>
              </w:rPr>
              <w:t>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E74" w:rsidRPr="007E0AC1" w:rsidRDefault="000017E0" w:rsidP="00282095">
            <w:pPr>
              <w:jc w:val="center"/>
              <w:rPr>
                <w:spacing w:val="0"/>
                <w:sz w:val="28"/>
                <w:szCs w:val="28"/>
                <w:lang w:val="uk-UA"/>
              </w:rPr>
            </w:pPr>
            <w:r w:rsidRPr="007E0AC1">
              <w:rPr>
                <w:spacing w:val="0"/>
                <w:sz w:val="28"/>
                <w:szCs w:val="28"/>
                <w:lang w:val="uk-UA"/>
              </w:rPr>
              <w:t>-44,524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E74" w:rsidRPr="007E0AC1" w:rsidRDefault="000017E0" w:rsidP="00282095">
            <w:pPr>
              <w:jc w:val="center"/>
              <w:rPr>
                <w:spacing w:val="0"/>
                <w:sz w:val="28"/>
                <w:szCs w:val="28"/>
                <w:lang w:val="uk-UA"/>
              </w:rPr>
            </w:pPr>
            <w:r w:rsidRPr="007E0AC1">
              <w:rPr>
                <w:spacing w:val="0"/>
                <w:sz w:val="28"/>
                <w:szCs w:val="28"/>
                <w:lang w:val="uk-UA"/>
              </w:rPr>
              <w:t>8,695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E74" w:rsidRPr="007E0AC1" w:rsidRDefault="000017E0" w:rsidP="00282095">
            <w:pPr>
              <w:jc w:val="center"/>
              <w:rPr>
                <w:spacing w:val="0"/>
                <w:sz w:val="28"/>
                <w:szCs w:val="28"/>
                <w:lang w:val="uk-UA"/>
              </w:rPr>
            </w:pPr>
            <w:r w:rsidRPr="007E0AC1">
              <w:rPr>
                <w:spacing w:val="0"/>
                <w:sz w:val="28"/>
                <w:szCs w:val="28"/>
                <w:lang w:val="uk-UA"/>
              </w:rPr>
              <w:t>-5,120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E74" w:rsidRPr="007E0AC1" w:rsidRDefault="000017E0" w:rsidP="00282095">
            <w:pPr>
              <w:jc w:val="center"/>
              <w:rPr>
                <w:spacing w:val="0"/>
                <w:sz w:val="28"/>
                <w:szCs w:val="28"/>
                <w:lang w:val="uk-UA"/>
              </w:rPr>
            </w:pPr>
            <w:r w:rsidRPr="007E0AC1">
              <w:rPr>
                <w:spacing w:val="0"/>
                <w:sz w:val="28"/>
                <w:szCs w:val="28"/>
                <w:lang w:val="uk-UA"/>
              </w:rPr>
              <w:t>0,0003</w:t>
            </w:r>
          </w:p>
        </w:tc>
      </w:tr>
    </w:tbl>
    <w:p w:rsidR="009F6081" w:rsidRPr="007E0AC1" w:rsidRDefault="009F6081" w:rsidP="00DA37D4">
      <w:pPr>
        <w:autoSpaceDE w:val="0"/>
        <w:autoSpaceDN w:val="0"/>
        <w:adjustRightInd w:val="0"/>
        <w:ind w:firstLine="720"/>
        <w:jc w:val="center"/>
        <w:rPr>
          <w:spacing w:val="0"/>
          <w:sz w:val="28"/>
          <w:szCs w:val="28"/>
          <w:lang w:val="uk-UA"/>
        </w:rPr>
      </w:pPr>
    </w:p>
    <w:p w:rsidR="009F4092" w:rsidRPr="007E0AC1" w:rsidRDefault="00912E74" w:rsidP="009F4092">
      <w:pPr>
        <w:autoSpaceDE w:val="0"/>
        <w:autoSpaceDN w:val="0"/>
        <w:adjustRightInd w:val="0"/>
        <w:ind w:firstLine="720"/>
        <w:jc w:val="both"/>
        <w:rPr>
          <w:spacing w:val="0"/>
          <w:sz w:val="28"/>
          <w:szCs w:val="28"/>
          <w:lang w:val="uk-UA"/>
        </w:rPr>
      </w:pPr>
      <w:r w:rsidRPr="007E0AC1">
        <w:rPr>
          <w:spacing w:val="0"/>
          <w:sz w:val="28"/>
          <w:szCs w:val="28"/>
          <w:lang w:val="uk-UA"/>
        </w:rPr>
        <w:t xml:space="preserve">Величина коефіцієнту множинної кореляції </w:t>
      </w:r>
      <w:r w:rsidRPr="007E0AC1">
        <w:rPr>
          <w:i/>
          <w:spacing w:val="0"/>
          <w:sz w:val="28"/>
          <w:szCs w:val="28"/>
          <w:lang w:val="uk-UA"/>
        </w:rPr>
        <w:t>R</w:t>
      </w:r>
      <w:r w:rsidR="000017E0" w:rsidRPr="007E0AC1">
        <w:rPr>
          <w:spacing w:val="0"/>
          <w:sz w:val="28"/>
          <w:szCs w:val="28"/>
          <w:lang w:val="uk-UA"/>
        </w:rPr>
        <w:t xml:space="preserve"> для моделі </w:t>
      </w:r>
      <w:r w:rsidRPr="007E0AC1">
        <w:rPr>
          <w:spacing w:val="0"/>
          <w:sz w:val="28"/>
          <w:szCs w:val="28"/>
          <w:lang w:val="uk-UA"/>
        </w:rPr>
        <w:t>дорівнює 0,</w:t>
      </w:r>
      <w:r w:rsidR="000017E0" w:rsidRPr="007E0AC1">
        <w:rPr>
          <w:spacing w:val="0"/>
          <w:sz w:val="28"/>
          <w:szCs w:val="28"/>
          <w:lang w:val="uk-UA"/>
        </w:rPr>
        <w:t>839</w:t>
      </w:r>
      <w:r w:rsidRPr="007E0AC1">
        <w:rPr>
          <w:spacing w:val="0"/>
          <w:sz w:val="28"/>
          <w:szCs w:val="28"/>
          <w:lang w:val="uk-UA"/>
        </w:rPr>
        <w:t xml:space="preserve">, що свідчить про </w:t>
      </w:r>
      <w:r w:rsidR="000017E0" w:rsidRPr="007E0AC1">
        <w:rPr>
          <w:spacing w:val="0"/>
          <w:sz w:val="28"/>
          <w:szCs w:val="28"/>
          <w:lang w:val="uk-UA"/>
        </w:rPr>
        <w:t xml:space="preserve">тісний зв'язок </w:t>
      </w:r>
      <w:r w:rsidR="009F4092" w:rsidRPr="007E0AC1">
        <w:rPr>
          <w:spacing w:val="0"/>
          <w:sz w:val="28"/>
          <w:szCs w:val="28"/>
          <w:lang w:val="uk-UA"/>
        </w:rPr>
        <w:t>фактора і результуючого показника</w:t>
      </w:r>
      <w:r w:rsidR="000017E0" w:rsidRPr="007E0AC1">
        <w:rPr>
          <w:spacing w:val="0"/>
          <w:sz w:val="28"/>
          <w:szCs w:val="28"/>
          <w:lang w:val="uk-UA"/>
        </w:rPr>
        <w:t xml:space="preserve">. </w:t>
      </w:r>
      <w:r w:rsidRPr="007E0AC1">
        <w:rPr>
          <w:spacing w:val="0"/>
          <w:sz w:val="28"/>
          <w:szCs w:val="28"/>
          <w:lang w:val="uk-UA"/>
        </w:rPr>
        <w:t xml:space="preserve">Значення </w:t>
      </w:r>
      <w:r w:rsidRPr="007E0AC1">
        <w:rPr>
          <w:i/>
          <w:spacing w:val="0"/>
          <w:sz w:val="28"/>
          <w:szCs w:val="28"/>
          <w:lang w:val="uk-UA"/>
        </w:rPr>
        <w:t>R</w:t>
      </w:r>
      <w:r w:rsidRPr="007E0AC1">
        <w:rPr>
          <w:spacing w:val="0"/>
          <w:sz w:val="28"/>
          <w:szCs w:val="28"/>
          <w:lang w:val="uk-UA"/>
        </w:rPr>
        <w:t xml:space="preserve">-квадрата (коефіцієнта детермінації) дорівнює </w:t>
      </w:r>
      <w:r w:rsidRPr="007E0AC1">
        <w:rPr>
          <w:i/>
          <w:spacing w:val="0"/>
          <w:sz w:val="28"/>
          <w:szCs w:val="28"/>
          <w:lang w:val="uk-UA"/>
        </w:rPr>
        <w:t>0,</w:t>
      </w:r>
      <w:r w:rsidR="000017E0" w:rsidRPr="007E0AC1">
        <w:rPr>
          <w:i/>
          <w:spacing w:val="0"/>
          <w:sz w:val="28"/>
          <w:szCs w:val="28"/>
          <w:lang w:val="uk-UA"/>
        </w:rPr>
        <w:t>759</w:t>
      </w:r>
      <w:r w:rsidRPr="007E0AC1">
        <w:rPr>
          <w:spacing w:val="0"/>
          <w:sz w:val="28"/>
          <w:szCs w:val="28"/>
          <w:lang w:val="uk-UA"/>
        </w:rPr>
        <w:t xml:space="preserve">. Це значить, що доля дисперсії результату </w:t>
      </w:r>
      <w:r w:rsidRPr="007E0AC1">
        <w:rPr>
          <w:i/>
          <w:spacing w:val="0"/>
          <w:sz w:val="28"/>
          <w:szCs w:val="28"/>
          <w:lang w:val="uk-UA"/>
        </w:rPr>
        <w:t>Y</w:t>
      </w:r>
      <w:r w:rsidRPr="007E0AC1">
        <w:rPr>
          <w:spacing w:val="0"/>
          <w:sz w:val="28"/>
          <w:szCs w:val="28"/>
          <w:lang w:val="uk-UA"/>
        </w:rPr>
        <w:t xml:space="preserve">, пояснена регресією, складає </w:t>
      </w:r>
      <w:r w:rsidR="000017E0" w:rsidRPr="007E0AC1">
        <w:rPr>
          <w:i/>
          <w:spacing w:val="0"/>
          <w:sz w:val="28"/>
          <w:szCs w:val="28"/>
          <w:lang w:val="uk-UA"/>
        </w:rPr>
        <w:t>75,9</w:t>
      </w:r>
      <w:r w:rsidRPr="007E0AC1">
        <w:rPr>
          <w:i/>
          <w:spacing w:val="0"/>
          <w:sz w:val="28"/>
          <w:szCs w:val="28"/>
          <w:lang w:val="uk-UA"/>
        </w:rPr>
        <w:t>%.</w:t>
      </w:r>
      <w:r w:rsidRPr="007E0AC1">
        <w:rPr>
          <w:spacing w:val="0"/>
          <w:sz w:val="28"/>
          <w:szCs w:val="28"/>
          <w:lang w:val="uk-UA"/>
        </w:rPr>
        <w:t xml:space="preserve"> </w:t>
      </w:r>
      <w:r w:rsidR="000017E0" w:rsidRPr="007E0AC1">
        <w:rPr>
          <w:spacing w:val="0"/>
          <w:sz w:val="28"/>
          <w:szCs w:val="28"/>
          <w:lang w:val="uk-UA"/>
        </w:rPr>
        <w:t>Р-значення значно менше граничного 0,</w:t>
      </w:r>
      <w:r w:rsidR="009F4092" w:rsidRPr="007E0AC1">
        <w:rPr>
          <w:spacing w:val="0"/>
          <w:sz w:val="28"/>
          <w:szCs w:val="28"/>
          <w:lang w:val="uk-UA"/>
        </w:rPr>
        <w:t>0</w:t>
      </w:r>
      <w:r w:rsidR="000017E0" w:rsidRPr="007E0AC1">
        <w:rPr>
          <w:spacing w:val="0"/>
          <w:sz w:val="28"/>
          <w:szCs w:val="28"/>
          <w:lang w:val="uk-UA"/>
        </w:rPr>
        <w:t>5</w:t>
      </w:r>
      <w:r w:rsidR="009F4092" w:rsidRPr="007E0AC1">
        <w:rPr>
          <w:spacing w:val="0"/>
          <w:sz w:val="28"/>
          <w:szCs w:val="28"/>
          <w:lang w:val="uk-UA"/>
        </w:rPr>
        <w:t xml:space="preserve"> (відповідно 0,0001 і 0,003)</w:t>
      </w:r>
      <w:r w:rsidR="000017E0" w:rsidRPr="007E0AC1">
        <w:rPr>
          <w:spacing w:val="0"/>
          <w:sz w:val="28"/>
          <w:szCs w:val="28"/>
          <w:lang w:val="uk-UA"/>
        </w:rPr>
        <w:t xml:space="preserve">. </w:t>
      </w:r>
      <w:r w:rsidR="009F4092" w:rsidRPr="007E0AC1">
        <w:rPr>
          <w:spacing w:val="0"/>
          <w:sz w:val="28"/>
          <w:szCs w:val="28"/>
          <w:lang w:val="uk-UA"/>
        </w:rPr>
        <w:t>Із таблиці 5</w:t>
      </w:r>
      <w:r w:rsidRPr="007E0AC1">
        <w:rPr>
          <w:spacing w:val="0"/>
          <w:sz w:val="28"/>
          <w:szCs w:val="28"/>
          <w:lang w:val="uk-UA"/>
        </w:rPr>
        <w:t xml:space="preserve"> видно, що </w:t>
      </w:r>
      <w:r w:rsidRPr="007E0AC1">
        <w:rPr>
          <w:i/>
          <w:iCs/>
          <w:spacing w:val="0"/>
          <w:sz w:val="28"/>
          <w:szCs w:val="28"/>
          <w:lang w:val="uk-UA"/>
        </w:rPr>
        <w:t>t</w:t>
      </w:r>
      <w:r w:rsidRPr="007E0AC1">
        <w:rPr>
          <w:spacing w:val="0"/>
          <w:sz w:val="28"/>
          <w:szCs w:val="28"/>
          <w:lang w:val="uk-UA"/>
        </w:rPr>
        <w:t xml:space="preserve"> для </w:t>
      </w:r>
      <w:r w:rsidRPr="007E0AC1">
        <w:rPr>
          <w:i/>
          <w:spacing w:val="0"/>
          <w:sz w:val="28"/>
          <w:szCs w:val="28"/>
          <w:lang w:val="uk-UA"/>
        </w:rPr>
        <w:t>Y</w:t>
      </w:r>
      <w:r w:rsidRPr="007E0AC1">
        <w:rPr>
          <w:spacing w:val="0"/>
          <w:sz w:val="28"/>
          <w:szCs w:val="28"/>
          <w:lang w:val="uk-UA"/>
        </w:rPr>
        <w:t xml:space="preserve">-пересічення дорівнює </w:t>
      </w:r>
      <w:r w:rsidR="009F4092" w:rsidRPr="007E0AC1">
        <w:rPr>
          <w:spacing w:val="0"/>
          <w:sz w:val="28"/>
          <w:szCs w:val="28"/>
          <w:lang w:val="uk-UA"/>
        </w:rPr>
        <w:t>5,714</w:t>
      </w:r>
      <w:r w:rsidRPr="007E0AC1">
        <w:rPr>
          <w:spacing w:val="0"/>
          <w:sz w:val="28"/>
          <w:szCs w:val="28"/>
          <w:lang w:val="uk-UA"/>
        </w:rPr>
        <w:t xml:space="preserve">, для  коефіцієнта регресії </w:t>
      </w:r>
      <w:r w:rsidR="009F4092" w:rsidRPr="007E0AC1">
        <w:rPr>
          <w:spacing w:val="0"/>
          <w:sz w:val="28"/>
          <w:szCs w:val="28"/>
          <w:lang w:val="uk-UA"/>
        </w:rPr>
        <w:t>-5,120</w:t>
      </w:r>
      <w:r w:rsidRPr="007E0AC1">
        <w:rPr>
          <w:spacing w:val="0"/>
          <w:sz w:val="28"/>
          <w:szCs w:val="28"/>
          <w:lang w:val="uk-UA"/>
        </w:rPr>
        <w:t xml:space="preserve">. </w:t>
      </w:r>
      <w:r w:rsidR="009F4092" w:rsidRPr="007E0AC1">
        <w:rPr>
          <w:spacing w:val="0"/>
          <w:sz w:val="28"/>
          <w:szCs w:val="28"/>
          <w:lang w:val="uk-UA"/>
        </w:rPr>
        <w:t>Критичне</w:t>
      </w:r>
      <w:r w:rsidRPr="007E0AC1">
        <w:rPr>
          <w:spacing w:val="0"/>
          <w:sz w:val="28"/>
          <w:szCs w:val="28"/>
          <w:lang w:val="uk-UA"/>
        </w:rPr>
        <w:t xml:space="preserve"> значення</w:t>
      </w:r>
      <w:r w:rsidR="009F4092" w:rsidRPr="007E0AC1">
        <w:rPr>
          <w:spacing w:val="0"/>
          <w:sz w:val="28"/>
          <w:szCs w:val="28"/>
          <w:lang w:val="uk-UA"/>
        </w:rPr>
        <w:t xml:space="preserve"> </w:t>
      </w:r>
      <w:r w:rsidR="009F4092" w:rsidRPr="007E0AC1">
        <w:rPr>
          <w:spacing w:val="0"/>
          <w:sz w:val="28"/>
          <w:szCs w:val="28"/>
          <w:lang w:val="uk-UA" w:eastAsia="uk-UA"/>
        </w:rPr>
        <w:t xml:space="preserve">коефіцієнта Стьюдента (t-критерия) для довірчої вірогідності </w:t>
      </w:r>
      <w:r w:rsidR="009F4092" w:rsidRPr="007E0AC1">
        <w:rPr>
          <w:i/>
          <w:iCs/>
          <w:spacing w:val="0"/>
          <w:sz w:val="28"/>
          <w:szCs w:val="28"/>
          <w:lang w:val="uk-UA" w:eastAsia="uk-UA"/>
        </w:rPr>
        <w:t xml:space="preserve">0,999 </w:t>
      </w:r>
      <w:r w:rsidR="009F4092" w:rsidRPr="007E0AC1">
        <w:rPr>
          <w:spacing w:val="0"/>
          <w:sz w:val="28"/>
          <w:szCs w:val="28"/>
          <w:lang w:val="uk-UA" w:eastAsia="uk-UA"/>
        </w:rPr>
        <w:t xml:space="preserve">і числа ступеней  свободи </w:t>
      </w:r>
      <w:r w:rsidR="009F4092" w:rsidRPr="007E0AC1">
        <w:rPr>
          <w:iCs/>
          <w:spacing w:val="0"/>
          <w:sz w:val="28"/>
          <w:szCs w:val="28"/>
          <w:lang w:val="uk-UA" w:eastAsia="uk-UA"/>
        </w:rPr>
        <w:t>11</w:t>
      </w:r>
      <w:r w:rsidRPr="007E0AC1">
        <w:rPr>
          <w:spacing w:val="0"/>
          <w:sz w:val="28"/>
          <w:szCs w:val="28"/>
          <w:lang w:val="uk-UA"/>
        </w:rPr>
        <w:t xml:space="preserve"> </w:t>
      </w:r>
      <w:r w:rsidRPr="007E0AC1">
        <w:rPr>
          <w:i/>
          <w:iCs/>
          <w:spacing w:val="0"/>
          <w:sz w:val="28"/>
          <w:szCs w:val="28"/>
          <w:lang w:val="uk-UA"/>
        </w:rPr>
        <w:t>t</w:t>
      </w:r>
      <w:r w:rsidRPr="007E0AC1">
        <w:rPr>
          <w:i/>
          <w:iCs/>
          <w:spacing w:val="0"/>
          <w:sz w:val="28"/>
          <w:szCs w:val="28"/>
          <w:vertAlign w:val="subscript"/>
          <w:lang w:val="uk-UA"/>
        </w:rPr>
        <w:t>КРИТ</w:t>
      </w:r>
      <w:r w:rsidRPr="007E0AC1">
        <w:rPr>
          <w:spacing w:val="0"/>
          <w:sz w:val="28"/>
          <w:szCs w:val="28"/>
          <w:lang w:val="uk-UA"/>
        </w:rPr>
        <w:t xml:space="preserve"> </w:t>
      </w:r>
      <w:r w:rsidRPr="007E0AC1">
        <w:rPr>
          <w:i/>
          <w:spacing w:val="0"/>
          <w:sz w:val="28"/>
          <w:szCs w:val="28"/>
          <w:lang w:val="uk-UA"/>
        </w:rPr>
        <w:t>=</w:t>
      </w:r>
      <w:r w:rsidR="009F4092" w:rsidRPr="007E0AC1">
        <w:rPr>
          <w:i/>
          <w:spacing w:val="0"/>
          <w:sz w:val="28"/>
          <w:szCs w:val="28"/>
          <w:lang w:val="uk-UA"/>
        </w:rPr>
        <w:t>4,437</w:t>
      </w:r>
      <w:r w:rsidRPr="007E0AC1">
        <w:rPr>
          <w:spacing w:val="0"/>
          <w:sz w:val="28"/>
          <w:szCs w:val="28"/>
          <w:lang w:val="uk-UA"/>
        </w:rPr>
        <w:t xml:space="preserve">. Оскільки </w:t>
      </w:r>
      <w:r w:rsidRPr="007E0AC1">
        <w:rPr>
          <w:i/>
          <w:iCs/>
          <w:spacing w:val="0"/>
          <w:sz w:val="28"/>
          <w:szCs w:val="28"/>
          <w:lang w:val="uk-UA"/>
        </w:rPr>
        <w:t>t</w:t>
      </w:r>
      <w:r w:rsidRPr="007E0AC1">
        <w:rPr>
          <w:spacing w:val="0"/>
          <w:sz w:val="28"/>
          <w:szCs w:val="28"/>
          <w:lang w:val="uk-UA"/>
        </w:rPr>
        <w:t xml:space="preserve">&gt; </w:t>
      </w:r>
      <w:r w:rsidRPr="007E0AC1">
        <w:rPr>
          <w:i/>
          <w:iCs/>
          <w:spacing w:val="0"/>
          <w:sz w:val="28"/>
          <w:szCs w:val="28"/>
          <w:lang w:val="uk-UA"/>
        </w:rPr>
        <w:t>t</w:t>
      </w:r>
      <w:r w:rsidRPr="007E0AC1">
        <w:rPr>
          <w:i/>
          <w:iCs/>
          <w:spacing w:val="0"/>
          <w:sz w:val="28"/>
          <w:szCs w:val="28"/>
          <w:vertAlign w:val="subscript"/>
          <w:lang w:val="uk-UA"/>
        </w:rPr>
        <w:t>КРИТ</w:t>
      </w:r>
      <w:r w:rsidR="009F4092" w:rsidRPr="007E0AC1">
        <w:rPr>
          <w:spacing w:val="0"/>
          <w:sz w:val="28"/>
          <w:szCs w:val="28"/>
          <w:lang w:val="uk-UA"/>
        </w:rPr>
        <w:t>, то пояснюючий фактор є статистично значимий</w:t>
      </w:r>
      <w:r w:rsidRPr="007E0AC1">
        <w:rPr>
          <w:spacing w:val="0"/>
          <w:sz w:val="28"/>
          <w:szCs w:val="28"/>
          <w:lang w:val="uk-UA"/>
        </w:rPr>
        <w:t>.</w:t>
      </w:r>
    </w:p>
    <w:p w:rsidR="00AB6622" w:rsidRDefault="00D37A8E" w:rsidP="00AB6622">
      <w:pPr>
        <w:ind w:firstLine="720"/>
        <w:jc w:val="both"/>
        <w:rPr>
          <w:b/>
          <w:spacing w:val="0"/>
          <w:sz w:val="28"/>
          <w:szCs w:val="28"/>
          <w:lang w:val="uk-UA"/>
        </w:rPr>
      </w:pPr>
      <w:r w:rsidRPr="007E0AC1">
        <w:rPr>
          <w:b/>
          <w:spacing w:val="0"/>
          <w:sz w:val="28"/>
          <w:szCs w:val="28"/>
          <w:lang w:val="uk-UA"/>
        </w:rPr>
        <w:t xml:space="preserve">Висновки із зазначених проблем і перспективи подальших досліджень у даному напрямку. </w:t>
      </w:r>
    </w:p>
    <w:p w:rsidR="00AB6622" w:rsidRPr="00AB6622" w:rsidRDefault="00AB6622" w:rsidP="00AB6622">
      <w:pPr>
        <w:ind w:firstLine="720"/>
        <w:jc w:val="both"/>
        <w:rPr>
          <w:spacing w:val="0"/>
          <w:sz w:val="28"/>
          <w:szCs w:val="28"/>
          <w:lang w:val="uk-UA"/>
        </w:rPr>
      </w:pPr>
      <w:r w:rsidRPr="00AB6622">
        <w:rPr>
          <w:spacing w:val="0"/>
          <w:sz w:val="28"/>
          <w:szCs w:val="28"/>
          <w:lang w:val="uk-UA"/>
        </w:rPr>
        <w:t xml:space="preserve">1. </w:t>
      </w:r>
      <w:r w:rsidRPr="006D7189">
        <w:rPr>
          <w:spacing w:val="0"/>
          <w:sz w:val="28"/>
          <w:szCs w:val="28"/>
          <w:lang w:val="uk-UA"/>
        </w:rPr>
        <w:t>За класифікацією Standard</w:t>
      </w:r>
      <w:r w:rsidRPr="007E0AC1">
        <w:rPr>
          <w:spacing w:val="0"/>
          <w:sz w:val="28"/>
          <w:szCs w:val="28"/>
          <w:lang w:val="uk-UA"/>
        </w:rPr>
        <w:t xml:space="preserve"> </w:t>
      </w:r>
      <w:r w:rsidRPr="007E0AC1">
        <w:rPr>
          <w:iCs/>
          <w:spacing w:val="0"/>
          <w:sz w:val="28"/>
          <w:szCs w:val="28"/>
          <w:lang w:val="uk-UA"/>
        </w:rPr>
        <w:t>&amp;</w:t>
      </w:r>
      <w:r w:rsidRPr="007E0AC1">
        <w:rPr>
          <w:i/>
          <w:iCs/>
          <w:spacing w:val="0"/>
          <w:sz w:val="28"/>
          <w:szCs w:val="28"/>
          <w:lang w:val="uk-UA"/>
        </w:rPr>
        <w:t xml:space="preserve"> </w:t>
      </w:r>
      <w:r w:rsidRPr="007E0AC1">
        <w:rPr>
          <w:spacing w:val="0"/>
          <w:sz w:val="28"/>
          <w:szCs w:val="28"/>
          <w:lang w:val="uk-UA"/>
        </w:rPr>
        <w:t>Poor's Україну віднесено до групи Frontier</w:t>
      </w:r>
      <w:r w:rsidRPr="007E0AC1">
        <w:rPr>
          <w:spacing w:val="0"/>
          <w:sz w:val="28"/>
          <w:szCs w:val="28"/>
          <w:vertAlign w:val="superscript"/>
          <w:lang w:val="uk-UA"/>
        </w:rPr>
        <w:t xml:space="preserve"> </w:t>
      </w:r>
      <w:r w:rsidRPr="007E0AC1">
        <w:rPr>
          <w:spacing w:val="0"/>
          <w:sz w:val="28"/>
          <w:szCs w:val="28"/>
          <w:lang w:val="uk-UA"/>
        </w:rPr>
        <w:t>(граничний ринок)</w:t>
      </w:r>
      <w:r>
        <w:rPr>
          <w:spacing w:val="0"/>
          <w:sz w:val="28"/>
          <w:szCs w:val="28"/>
          <w:lang w:val="uk-UA"/>
        </w:rPr>
        <w:t xml:space="preserve">. Основним індикатором фондового ринку України є індекс ПФТС, який починаючи з кінця 2005 р. зріс із  </w:t>
      </w:r>
      <w:r w:rsidR="002F04B4" w:rsidRPr="007E0AC1">
        <w:rPr>
          <w:spacing w:val="0"/>
          <w:sz w:val="28"/>
          <w:szCs w:val="28"/>
          <w:lang w:val="uk-UA"/>
        </w:rPr>
        <w:t>353,0</w:t>
      </w:r>
      <w:r>
        <w:rPr>
          <w:spacing w:val="0"/>
          <w:sz w:val="28"/>
          <w:szCs w:val="28"/>
          <w:lang w:val="uk-UA"/>
        </w:rPr>
        <w:t xml:space="preserve"> до максимуму 1208,61 у 2008 р. і різко впав до кінця року до </w:t>
      </w:r>
      <w:r w:rsidR="002F04B4" w:rsidRPr="007E0AC1">
        <w:rPr>
          <w:spacing w:val="0"/>
          <w:sz w:val="28"/>
          <w:szCs w:val="28"/>
          <w:lang w:val="uk-UA"/>
        </w:rPr>
        <w:t xml:space="preserve">301,42 б.п. </w:t>
      </w:r>
      <w:r>
        <w:rPr>
          <w:spacing w:val="0"/>
          <w:sz w:val="28"/>
          <w:szCs w:val="28"/>
          <w:lang w:val="uk-UA"/>
        </w:rPr>
        <w:t xml:space="preserve">Протягом двох місяців 2009 р. індекс ПФТС скоротився ще на 31,82%. Подібну описову динаміку дають також індекси фінансового ринку України, які визначаються зарубіжними агенціями: </w:t>
      </w:r>
      <w:r w:rsidRPr="00AB6622">
        <w:rPr>
          <w:bCs/>
          <w:iCs/>
          <w:spacing w:val="0"/>
          <w:sz w:val="28"/>
          <w:szCs w:val="28"/>
        </w:rPr>
        <w:t>UTX</w:t>
      </w:r>
      <w:r w:rsidRPr="00AB6622">
        <w:rPr>
          <w:bCs/>
          <w:iCs/>
          <w:spacing w:val="0"/>
          <w:sz w:val="28"/>
          <w:szCs w:val="28"/>
          <w:lang w:val="uk-UA"/>
        </w:rPr>
        <w:t xml:space="preserve"> (</w:t>
      </w:r>
      <w:r w:rsidRPr="00AB6622">
        <w:rPr>
          <w:bCs/>
          <w:iCs/>
          <w:spacing w:val="0"/>
          <w:sz w:val="28"/>
          <w:szCs w:val="28"/>
        </w:rPr>
        <w:t>UAH</w:t>
      </w:r>
      <w:r w:rsidRPr="00AB6622">
        <w:rPr>
          <w:bCs/>
          <w:iCs/>
          <w:spacing w:val="0"/>
          <w:sz w:val="28"/>
          <w:szCs w:val="28"/>
          <w:lang w:val="uk-UA"/>
        </w:rPr>
        <w:t>)</w:t>
      </w:r>
      <w:r>
        <w:rPr>
          <w:b/>
          <w:spacing w:val="0"/>
          <w:sz w:val="28"/>
          <w:szCs w:val="28"/>
          <w:lang w:val="uk-UA"/>
        </w:rPr>
        <w:t xml:space="preserve">, </w:t>
      </w:r>
      <w:r w:rsidRPr="00AB6622">
        <w:rPr>
          <w:bCs/>
          <w:iCs/>
          <w:spacing w:val="0"/>
          <w:sz w:val="28"/>
          <w:szCs w:val="28"/>
        </w:rPr>
        <w:t>UTX</w:t>
      </w:r>
      <w:r w:rsidRPr="00AB6622">
        <w:rPr>
          <w:bCs/>
          <w:iCs/>
          <w:spacing w:val="0"/>
          <w:sz w:val="28"/>
          <w:szCs w:val="28"/>
          <w:lang w:val="uk-UA"/>
        </w:rPr>
        <w:t xml:space="preserve"> (</w:t>
      </w:r>
      <w:r w:rsidRPr="00AB6622">
        <w:rPr>
          <w:bCs/>
          <w:iCs/>
          <w:spacing w:val="0"/>
          <w:sz w:val="28"/>
          <w:szCs w:val="28"/>
        </w:rPr>
        <w:t>USD</w:t>
      </w:r>
      <w:r w:rsidRPr="00AB6622">
        <w:rPr>
          <w:bCs/>
          <w:iCs/>
          <w:spacing w:val="0"/>
          <w:sz w:val="28"/>
          <w:szCs w:val="28"/>
          <w:lang w:val="uk-UA"/>
        </w:rPr>
        <w:t>)</w:t>
      </w:r>
      <w:r>
        <w:rPr>
          <w:b/>
          <w:spacing w:val="0"/>
          <w:sz w:val="28"/>
          <w:szCs w:val="28"/>
          <w:lang w:val="uk-UA"/>
        </w:rPr>
        <w:t xml:space="preserve">, </w:t>
      </w:r>
      <w:r w:rsidRPr="00AB6622">
        <w:rPr>
          <w:bCs/>
          <w:iCs/>
          <w:spacing w:val="0"/>
          <w:sz w:val="28"/>
          <w:szCs w:val="28"/>
        </w:rPr>
        <w:t>MSCI</w:t>
      </w:r>
      <w:r w:rsidRPr="00AB6622">
        <w:rPr>
          <w:bCs/>
          <w:iCs/>
          <w:spacing w:val="0"/>
          <w:sz w:val="28"/>
          <w:szCs w:val="28"/>
          <w:lang w:val="uk-UA"/>
        </w:rPr>
        <w:t xml:space="preserve"> (</w:t>
      </w:r>
      <w:r w:rsidRPr="00AB6622">
        <w:rPr>
          <w:bCs/>
          <w:iCs/>
          <w:spacing w:val="0"/>
          <w:sz w:val="28"/>
          <w:szCs w:val="28"/>
        </w:rPr>
        <w:t>USD</w:t>
      </w:r>
      <w:r w:rsidRPr="00AB6622">
        <w:rPr>
          <w:bCs/>
          <w:iCs/>
          <w:spacing w:val="0"/>
          <w:sz w:val="28"/>
          <w:szCs w:val="28"/>
          <w:lang w:val="uk-UA"/>
        </w:rPr>
        <w:t>)</w:t>
      </w:r>
      <w:r>
        <w:rPr>
          <w:b/>
          <w:spacing w:val="0"/>
          <w:sz w:val="28"/>
          <w:szCs w:val="28"/>
          <w:lang w:val="uk-UA"/>
        </w:rPr>
        <w:t xml:space="preserve">, </w:t>
      </w:r>
      <w:r w:rsidRPr="00AB6622">
        <w:rPr>
          <w:spacing w:val="0"/>
          <w:sz w:val="28"/>
          <w:szCs w:val="28"/>
          <w:lang w:val="en-US"/>
        </w:rPr>
        <w:t>MSCI</w:t>
      </w:r>
      <w:r w:rsidRPr="00AB6622">
        <w:rPr>
          <w:spacing w:val="0"/>
          <w:sz w:val="28"/>
          <w:szCs w:val="28"/>
          <w:lang w:val="uk-UA"/>
        </w:rPr>
        <w:t xml:space="preserve"> </w:t>
      </w:r>
      <w:r w:rsidRPr="00AB6622">
        <w:rPr>
          <w:spacing w:val="0"/>
          <w:sz w:val="28"/>
          <w:szCs w:val="28"/>
          <w:lang w:val="en-US"/>
        </w:rPr>
        <w:t>Ukraine</w:t>
      </w:r>
      <w:r w:rsidRPr="00AB6622">
        <w:rPr>
          <w:spacing w:val="0"/>
          <w:sz w:val="28"/>
          <w:szCs w:val="28"/>
          <w:lang w:val="uk-UA"/>
        </w:rPr>
        <w:t xml:space="preserve"> (</w:t>
      </w:r>
      <w:r w:rsidRPr="00AB6622">
        <w:rPr>
          <w:spacing w:val="0"/>
          <w:sz w:val="28"/>
          <w:szCs w:val="28"/>
          <w:lang w:val="en-US"/>
        </w:rPr>
        <w:t>USD</w:t>
      </w:r>
      <w:r w:rsidRPr="00AB6622">
        <w:rPr>
          <w:spacing w:val="0"/>
          <w:sz w:val="28"/>
          <w:szCs w:val="28"/>
          <w:lang w:val="uk-UA"/>
        </w:rPr>
        <w:t>)</w:t>
      </w:r>
      <w:r>
        <w:rPr>
          <w:b/>
          <w:spacing w:val="0"/>
          <w:sz w:val="28"/>
          <w:szCs w:val="28"/>
          <w:lang w:val="uk-UA"/>
        </w:rPr>
        <w:t xml:space="preserve">, </w:t>
      </w:r>
      <w:r w:rsidRPr="00AB6622">
        <w:rPr>
          <w:bCs/>
          <w:iCs/>
          <w:spacing w:val="0"/>
          <w:sz w:val="28"/>
          <w:szCs w:val="28"/>
          <w:lang w:val="uk-UA"/>
        </w:rPr>
        <w:t xml:space="preserve">Індекс </w:t>
      </w:r>
      <w:r w:rsidRPr="00AB6622">
        <w:rPr>
          <w:bCs/>
          <w:iCs/>
          <w:spacing w:val="0"/>
          <w:sz w:val="28"/>
          <w:szCs w:val="28"/>
          <w:lang w:val="en-US"/>
        </w:rPr>
        <w:t>S</w:t>
      </w:r>
      <w:r w:rsidRPr="00AB6622">
        <w:rPr>
          <w:bCs/>
          <w:iCs/>
          <w:spacing w:val="0"/>
          <w:sz w:val="28"/>
          <w:szCs w:val="28"/>
          <w:lang w:val="uk-UA"/>
        </w:rPr>
        <w:t>&amp;</w:t>
      </w:r>
      <w:r w:rsidRPr="00AB6622">
        <w:rPr>
          <w:bCs/>
          <w:iCs/>
          <w:spacing w:val="0"/>
          <w:sz w:val="28"/>
          <w:szCs w:val="28"/>
          <w:lang w:val="en-US"/>
        </w:rPr>
        <w:t>P</w:t>
      </w:r>
      <w:r w:rsidRPr="00AB6622">
        <w:rPr>
          <w:bCs/>
          <w:iCs/>
          <w:spacing w:val="0"/>
          <w:sz w:val="28"/>
          <w:szCs w:val="28"/>
          <w:lang w:val="uk-UA"/>
        </w:rPr>
        <w:t xml:space="preserve"> </w:t>
      </w:r>
      <w:r w:rsidRPr="00AB6622">
        <w:rPr>
          <w:bCs/>
          <w:iCs/>
          <w:spacing w:val="0"/>
          <w:sz w:val="28"/>
          <w:szCs w:val="28"/>
          <w:lang w:val="en-US"/>
        </w:rPr>
        <w:t>Frontier</w:t>
      </w:r>
      <w:r w:rsidRPr="00AB6622">
        <w:rPr>
          <w:bCs/>
          <w:iCs/>
          <w:spacing w:val="0"/>
          <w:sz w:val="28"/>
          <w:szCs w:val="28"/>
          <w:lang w:val="uk-UA"/>
        </w:rPr>
        <w:t xml:space="preserve"> </w:t>
      </w:r>
      <w:r w:rsidRPr="00AB6622">
        <w:rPr>
          <w:bCs/>
          <w:iCs/>
          <w:spacing w:val="0"/>
          <w:sz w:val="28"/>
          <w:szCs w:val="28"/>
          <w:lang w:val="en-US"/>
        </w:rPr>
        <w:t>Composite</w:t>
      </w:r>
      <w:r w:rsidRPr="00AB6622">
        <w:rPr>
          <w:bCs/>
          <w:iCs/>
          <w:spacing w:val="0"/>
          <w:sz w:val="28"/>
          <w:szCs w:val="28"/>
          <w:lang w:val="uk-UA"/>
        </w:rPr>
        <w:t xml:space="preserve"> </w:t>
      </w:r>
      <w:r w:rsidRPr="00AB6622">
        <w:rPr>
          <w:spacing w:val="0"/>
          <w:sz w:val="28"/>
          <w:szCs w:val="28"/>
          <w:lang w:val="en-US"/>
        </w:rPr>
        <w:t>USD</w:t>
      </w:r>
      <w:r>
        <w:rPr>
          <w:spacing w:val="0"/>
          <w:sz w:val="28"/>
          <w:szCs w:val="28"/>
          <w:lang w:val="uk-UA"/>
        </w:rPr>
        <w:t xml:space="preserve">, </w:t>
      </w:r>
      <w:r w:rsidRPr="00AB6622">
        <w:rPr>
          <w:spacing w:val="0"/>
          <w:sz w:val="28"/>
          <w:szCs w:val="28"/>
          <w:lang w:val="en-US"/>
        </w:rPr>
        <w:t>S</w:t>
      </w:r>
      <w:r w:rsidRPr="00AB6622">
        <w:rPr>
          <w:spacing w:val="0"/>
          <w:sz w:val="28"/>
          <w:szCs w:val="28"/>
          <w:lang w:val="uk-UA"/>
        </w:rPr>
        <w:t>&amp;</w:t>
      </w:r>
      <w:r w:rsidRPr="00AB6622">
        <w:rPr>
          <w:spacing w:val="0"/>
          <w:sz w:val="28"/>
          <w:szCs w:val="28"/>
          <w:lang w:val="en-US"/>
        </w:rPr>
        <w:t>P</w:t>
      </w:r>
      <w:r w:rsidRPr="00AB6622">
        <w:rPr>
          <w:spacing w:val="0"/>
          <w:sz w:val="28"/>
          <w:szCs w:val="28"/>
          <w:lang w:val="uk-UA"/>
        </w:rPr>
        <w:t xml:space="preserve"> </w:t>
      </w:r>
      <w:r w:rsidRPr="00AB6622">
        <w:rPr>
          <w:spacing w:val="0"/>
          <w:sz w:val="28"/>
          <w:szCs w:val="28"/>
          <w:lang w:val="en-US"/>
        </w:rPr>
        <w:t>Frontier</w:t>
      </w:r>
      <w:r w:rsidRPr="00AB6622">
        <w:rPr>
          <w:spacing w:val="0"/>
          <w:sz w:val="28"/>
          <w:szCs w:val="28"/>
          <w:lang w:val="uk-UA"/>
        </w:rPr>
        <w:t xml:space="preserve"> – </w:t>
      </w:r>
      <w:r w:rsidRPr="00AB6622">
        <w:rPr>
          <w:spacing w:val="0"/>
          <w:sz w:val="28"/>
          <w:szCs w:val="28"/>
          <w:lang w:val="en-US"/>
        </w:rPr>
        <w:t>Ukraine</w:t>
      </w:r>
      <w:r w:rsidRPr="00AB6622">
        <w:rPr>
          <w:spacing w:val="0"/>
          <w:sz w:val="28"/>
          <w:szCs w:val="28"/>
          <w:lang w:val="uk-UA"/>
        </w:rPr>
        <w:t xml:space="preserve"> </w:t>
      </w:r>
      <w:r w:rsidRPr="00AB6622">
        <w:rPr>
          <w:spacing w:val="0"/>
          <w:sz w:val="28"/>
          <w:szCs w:val="28"/>
          <w:lang w:val="en-US"/>
        </w:rPr>
        <w:t>USD</w:t>
      </w:r>
      <w:r>
        <w:rPr>
          <w:b/>
          <w:spacing w:val="0"/>
          <w:sz w:val="28"/>
          <w:szCs w:val="28"/>
          <w:lang w:val="uk-UA"/>
        </w:rPr>
        <w:t xml:space="preserve">. </w:t>
      </w:r>
      <w:r w:rsidRPr="00AB6622">
        <w:rPr>
          <w:spacing w:val="0"/>
          <w:sz w:val="28"/>
          <w:szCs w:val="28"/>
          <w:lang w:val="uk-UA"/>
        </w:rPr>
        <w:t xml:space="preserve">Падіння </w:t>
      </w:r>
      <w:r>
        <w:rPr>
          <w:spacing w:val="0"/>
          <w:sz w:val="28"/>
          <w:szCs w:val="28"/>
          <w:lang w:val="uk-UA"/>
        </w:rPr>
        <w:t xml:space="preserve">індексів фондового ринку України більше, ніж в інших країнах </w:t>
      </w:r>
      <w:r w:rsidRPr="007E0AC1">
        <w:rPr>
          <w:spacing w:val="0"/>
          <w:sz w:val="28"/>
          <w:szCs w:val="28"/>
          <w:lang w:val="uk-UA"/>
        </w:rPr>
        <w:t>групи Frontier</w:t>
      </w:r>
      <w:r>
        <w:rPr>
          <w:spacing w:val="0"/>
          <w:sz w:val="28"/>
          <w:szCs w:val="28"/>
          <w:lang w:val="uk-UA"/>
        </w:rPr>
        <w:t>.</w:t>
      </w:r>
    </w:p>
    <w:p w:rsidR="009C6A15" w:rsidRDefault="00AB6622" w:rsidP="009C6A15">
      <w:pPr>
        <w:ind w:firstLine="720"/>
        <w:jc w:val="both"/>
        <w:rPr>
          <w:spacing w:val="0"/>
          <w:sz w:val="28"/>
          <w:szCs w:val="28"/>
          <w:lang w:val="uk-UA"/>
        </w:rPr>
      </w:pPr>
      <w:r>
        <w:rPr>
          <w:spacing w:val="0"/>
          <w:sz w:val="28"/>
          <w:szCs w:val="28"/>
          <w:lang w:val="uk-UA"/>
        </w:rPr>
        <w:t xml:space="preserve">2. </w:t>
      </w:r>
      <w:r w:rsidR="002F04B4" w:rsidRPr="007E0AC1">
        <w:rPr>
          <w:spacing w:val="0"/>
          <w:sz w:val="28"/>
          <w:szCs w:val="28"/>
          <w:lang w:val="uk-UA"/>
        </w:rPr>
        <w:t xml:space="preserve">Індекс ПФТС — ціновий індекс, зважений за обсягом емісії (free float), що реально доступна для широкого кола інвесторів. </w:t>
      </w:r>
      <w:r>
        <w:rPr>
          <w:spacing w:val="0"/>
          <w:sz w:val="28"/>
          <w:szCs w:val="28"/>
          <w:lang w:val="uk-UA"/>
        </w:rPr>
        <w:t>Протягом 2005-2009 рр. склад</w:t>
      </w:r>
      <w:r w:rsidR="002F04B4" w:rsidRPr="007E0AC1">
        <w:rPr>
          <w:spacing w:val="0"/>
          <w:sz w:val="28"/>
          <w:szCs w:val="28"/>
          <w:lang w:val="uk-UA"/>
        </w:rPr>
        <w:t xml:space="preserve"> індексного кошику ПФТС </w:t>
      </w:r>
      <w:r>
        <w:rPr>
          <w:spacing w:val="0"/>
          <w:sz w:val="28"/>
          <w:szCs w:val="28"/>
          <w:lang w:val="uk-UA"/>
        </w:rPr>
        <w:t xml:space="preserve">розширився з 9 до 20 емітентів. </w:t>
      </w:r>
      <w:r w:rsidR="009C6A15">
        <w:rPr>
          <w:spacing w:val="0"/>
          <w:sz w:val="28"/>
          <w:szCs w:val="28"/>
          <w:lang w:val="uk-UA"/>
        </w:rPr>
        <w:t>Більше 60% структури індексу припадає на 6 підприємств</w:t>
      </w:r>
      <w:r w:rsidR="002F04B4" w:rsidRPr="007E0AC1">
        <w:rPr>
          <w:rFonts w:eastAsia="Arial Unicode MS"/>
          <w:spacing w:val="0"/>
          <w:sz w:val="28"/>
          <w:szCs w:val="28"/>
          <w:lang w:val="uk-UA"/>
        </w:rPr>
        <w:t xml:space="preserve"> </w:t>
      </w:r>
      <w:r w:rsidR="009C6A15">
        <w:rPr>
          <w:spacing w:val="0"/>
          <w:sz w:val="28"/>
          <w:szCs w:val="28"/>
          <w:lang w:val="uk-UA"/>
        </w:rPr>
        <w:t xml:space="preserve">ВАТ «Західенерго», ВАТ </w:t>
      </w:r>
      <w:r w:rsidR="009C6A15">
        <w:rPr>
          <w:spacing w:val="0"/>
          <w:sz w:val="28"/>
          <w:szCs w:val="28"/>
          <w:lang w:val="uk-UA"/>
        </w:rPr>
        <w:lastRenderedPageBreak/>
        <w:t>«Укрнафта»</w:t>
      </w:r>
      <w:r w:rsidR="002F04B4" w:rsidRPr="007E0AC1">
        <w:rPr>
          <w:spacing w:val="0"/>
          <w:sz w:val="28"/>
          <w:szCs w:val="28"/>
          <w:lang w:val="uk-UA"/>
        </w:rPr>
        <w:t>, В</w:t>
      </w:r>
      <w:r w:rsidR="009C6A15">
        <w:rPr>
          <w:spacing w:val="0"/>
          <w:sz w:val="28"/>
          <w:szCs w:val="28"/>
          <w:lang w:val="uk-UA"/>
        </w:rPr>
        <w:t>АТ «Укртелеком»,</w:t>
      </w:r>
      <w:r w:rsidR="002F04B4" w:rsidRPr="007E0AC1">
        <w:rPr>
          <w:spacing w:val="0"/>
          <w:sz w:val="28"/>
          <w:szCs w:val="28"/>
          <w:lang w:val="uk-UA"/>
        </w:rPr>
        <w:t xml:space="preserve"> </w:t>
      </w:r>
      <w:r w:rsidR="009C6A15">
        <w:rPr>
          <w:spacing w:val="0"/>
          <w:sz w:val="28"/>
          <w:szCs w:val="28"/>
          <w:lang w:val="uk-UA"/>
        </w:rPr>
        <w:t>ВАТ «Центренерго»</w:t>
      </w:r>
      <w:r w:rsidR="002F04B4" w:rsidRPr="007E0AC1">
        <w:rPr>
          <w:spacing w:val="0"/>
          <w:sz w:val="28"/>
          <w:szCs w:val="28"/>
          <w:lang w:val="uk-UA"/>
        </w:rPr>
        <w:t>, ВАТ «ІНТЕРПАЙП Нижньодніпровський труб</w:t>
      </w:r>
      <w:r w:rsidR="009C6A15">
        <w:rPr>
          <w:spacing w:val="0"/>
          <w:sz w:val="28"/>
          <w:szCs w:val="28"/>
          <w:lang w:val="uk-UA"/>
        </w:rPr>
        <w:t>опрокатний завод», ВАТ «Мотор Січ»</w:t>
      </w:r>
      <w:r w:rsidR="002F04B4" w:rsidRPr="007E0AC1">
        <w:rPr>
          <w:spacing w:val="0"/>
          <w:sz w:val="28"/>
          <w:szCs w:val="28"/>
          <w:lang w:val="uk-UA"/>
        </w:rPr>
        <w:t>.</w:t>
      </w:r>
      <w:r w:rsidR="009C6A15">
        <w:rPr>
          <w:spacing w:val="0"/>
          <w:sz w:val="28"/>
          <w:szCs w:val="28"/>
          <w:lang w:val="uk-UA"/>
        </w:rPr>
        <w:t xml:space="preserve"> Ці підприємства займають переважно монопольне становище і не відображають структури реального сектора економіки. </w:t>
      </w:r>
    </w:p>
    <w:p w:rsidR="00C3244F" w:rsidRPr="009C6A15" w:rsidRDefault="009C6A15" w:rsidP="009C6A15">
      <w:pPr>
        <w:ind w:firstLine="720"/>
        <w:jc w:val="both"/>
        <w:rPr>
          <w:spacing w:val="0"/>
          <w:sz w:val="28"/>
          <w:szCs w:val="28"/>
          <w:lang w:val="uk-UA"/>
        </w:rPr>
      </w:pPr>
      <w:r w:rsidRPr="009C6A15">
        <w:rPr>
          <w:spacing w:val="0"/>
          <w:sz w:val="28"/>
          <w:szCs w:val="28"/>
          <w:lang w:val="uk-UA"/>
        </w:rPr>
        <w:t xml:space="preserve">3. </w:t>
      </w:r>
      <w:r w:rsidR="00C3244F" w:rsidRPr="009C6A15">
        <w:rPr>
          <w:spacing w:val="0"/>
          <w:sz w:val="28"/>
          <w:szCs w:val="28"/>
          <w:lang w:val="uk-UA"/>
        </w:rPr>
        <w:t>Рейтинг</w:t>
      </w:r>
      <w:r w:rsidRPr="009C6A15">
        <w:rPr>
          <w:spacing w:val="0"/>
          <w:sz w:val="28"/>
          <w:szCs w:val="28"/>
          <w:lang w:val="uk-UA"/>
        </w:rPr>
        <w:t xml:space="preserve">и </w:t>
      </w:r>
      <w:r w:rsidR="00C3244F" w:rsidRPr="009C6A15">
        <w:rPr>
          <w:spacing w:val="0"/>
          <w:sz w:val="28"/>
          <w:szCs w:val="28"/>
          <w:lang w:val="uk-UA"/>
        </w:rPr>
        <w:t>Кот</w:t>
      </w:r>
      <w:r w:rsidRPr="009C6A15">
        <w:rPr>
          <w:spacing w:val="0"/>
          <w:sz w:val="28"/>
          <w:szCs w:val="28"/>
          <w:lang w:val="uk-UA"/>
        </w:rPr>
        <w:t>ирувальних списків акцій</w:t>
      </w:r>
      <w:r w:rsidR="00C3244F" w:rsidRPr="009C6A15">
        <w:rPr>
          <w:spacing w:val="0"/>
          <w:sz w:val="28"/>
          <w:szCs w:val="28"/>
          <w:lang w:val="uk-UA"/>
        </w:rPr>
        <w:t xml:space="preserve"> </w:t>
      </w:r>
      <w:r w:rsidRPr="009C6A15">
        <w:rPr>
          <w:spacing w:val="0"/>
          <w:sz w:val="28"/>
          <w:szCs w:val="28"/>
          <w:lang w:val="uk-UA"/>
        </w:rPr>
        <w:t>очолюють</w:t>
      </w:r>
      <w:r w:rsidR="00C3244F" w:rsidRPr="009C6A15">
        <w:rPr>
          <w:spacing w:val="0"/>
          <w:sz w:val="28"/>
          <w:szCs w:val="28"/>
          <w:lang w:val="uk-UA"/>
        </w:rPr>
        <w:t xml:space="preserve"> цінні папери емітентів </w:t>
      </w:r>
      <w:r w:rsidRPr="009C6A15">
        <w:rPr>
          <w:spacing w:val="0"/>
          <w:sz w:val="28"/>
          <w:szCs w:val="28"/>
          <w:lang w:val="uk-UA"/>
        </w:rPr>
        <w:t>електроенергетичної,</w:t>
      </w:r>
      <w:r w:rsidR="00C3244F" w:rsidRPr="009C6A15">
        <w:rPr>
          <w:rFonts w:ascii="TimesNewRomanPSMT" w:hAnsi="TimesNewRomanPSMT" w:cs="TimesNewRomanPSMT"/>
          <w:spacing w:val="0"/>
          <w:sz w:val="28"/>
          <w:szCs w:val="28"/>
          <w:lang w:val="uk-UA"/>
        </w:rPr>
        <w:t xml:space="preserve"> ме</w:t>
      </w:r>
      <w:r w:rsidRPr="009C6A15">
        <w:rPr>
          <w:rFonts w:ascii="TimesNewRomanPSMT" w:hAnsi="TimesNewRomanPSMT" w:cs="TimesNewRomanPSMT"/>
          <w:spacing w:val="0"/>
          <w:sz w:val="28"/>
          <w:szCs w:val="28"/>
          <w:lang w:val="uk-UA"/>
        </w:rPr>
        <w:t>талургійної</w:t>
      </w:r>
      <w:r w:rsidR="00C3244F" w:rsidRPr="009C6A15">
        <w:rPr>
          <w:rFonts w:ascii="TimesNewRomanPSMT" w:hAnsi="TimesNewRomanPSMT" w:cs="TimesNewRomanPSMT"/>
          <w:spacing w:val="0"/>
          <w:sz w:val="28"/>
          <w:szCs w:val="28"/>
          <w:lang w:val="uk-UA"/>
        </w:rPr>
        <w:t xml:space="preserve"> та хімічної</w:t>
      </w:r>
      <w:r w:rsidR="00C3244F" w:rsidRPr="006D7189">
        <w:rPr>
          <w:rFonts w:ascii="TimesNewRomanPSMT" w:hAnsi="TimesNewRomanPSMT" w:cs="TimesNewRomanPSMT"/>
          <w:spacing w:val="0"/>
          <w:sz w:val="28"/>
          <w:szCs w:val="28"/>
          <w:lang w:val="uk-UA"/>
        </w:rPr>
        <w:t xml:space="preserve"> галузей.</w:t>
      </w:r>
      <w:r>
        <w:rPr>
          <w:rFonts w:ascii="TimesNewRomanPSMT" w:hAnsi="TimesNewRomanPSMT" w:cs="TimesNewRomanPSMT"/>
          <w:spacing w:val="0"/>
          <w:sz w:val="28"/>
          <w:szCs w:val="28"/>
          <w:lang w:val="uk-UA"/>
        </w:rPr>
        <w:t xml:space="preserve"> Разом з тим курси акцій саме цих підприємств зазнали найбільшого зниження, що і обумовило падіння індексу ПФТС.</w:t>
      </w:r>
    </w:p>
    <w:p w:rsidR="00177BC0" w:rsidRDefault="009C6A15" w:rsidP="009C6A15">
      <w:pPr>
        <w:autoSpaceDE w:val="0"/>
        <w:autoSpaceDN w:val="0"/>
        <w:adjustRightInd w:val="0"/>
        <w:ind w:firstLine="720"/>
        <w:jc w:val="both"/>
        <w:rPr>
          <w:color w:val="000000"/>
          <w:spacing w:val="0"/>
          <w:sz w:val="28"/>
          <w:szCs w:val="28"/>
          <w:lang w:val="uk-UA"/>
        </w:rPr>
      </w:pPr>
      <w:r w:rsidRPr="009C6A15">
        <w:rPr>
          <w:spacing w:val="0"/>
          <w:sz w:val="28"/>
          <w:szCs w:val="28"/>
          <w:lang w:val="uk-UA"/>
        </w:rPr>
        <w:t xml:space="preserve">4. </w:t>
      </w:r>
      <w:r w:rsidR="00C3244F" w:rsidRPr="009C6A15">
        <w:rPr>
          <w:spacing w:val="0"/>
          <w:sz w:val="28"/>
          <w:szCs w:val="28"/>
          <w:lang w:val="uk-UA"/>
        </w:rPr>
        <w:t>Для дослідження ступеня адекватності відображення фондовим індексом ПФТС стану національної економіки було проведено кореляцій</w:t>
      </w:r>
      <w:r w:rsidRPr="009C6A15">
        <w:rPr>
          <w:spacing w:val="0"/>
          <w:sz w:val="28"/>
          <w:szCs w:val="28"/>
          <w:lang w:val="uk-UA"/>
        </w:rPr>
        <w:t>но-регресійний аналіз.</w:t>
      </w:r>
      <w:r w:rsidR="00C3244F" w:rsidRPr="009C6A15">
        <w:rPr>
          <w:spacing w:val="0"/>
          <w:sz w:val="28"/>
          <w:szCs w:val="28"/>
          <w:lang w:val="uk-UA"/>
        </w:rPr>
        <w:t xml:space="preserve"> Індекс цін промислового виробництва має істотний зворотний кореляційний зв'язок з кількістю безробітних</w:t>
      </w:r>
      <w:r w:rsidRPr="009C6A15">
        <w:rPr>
          <w:spacing w:val="0"/>
          <w:sz w:val="28"/>
          <w:szCs w:val="28"/>
          <w:lang w:val="uk-UA"/>
        </w:rPr>
        <w:t xml:space="preserve"> та індексом цін</w:t>
      </w:r>
      <w:r w:rsidR="00C3244F" w:rsidRPr="009C6A15">
        <w:rPr>
          <w:spacing w:val="0"/>
          <w:sz w:val="28"/>
          <w:szCs w:val="28"/>
          <w:lang w:val="uk-UA"/>
        </w:rPr>
        <w:t xml:space="preserve">, індекс ПФТС </w:t>
      </w:r>
      <w:r w:rsidR="00177BC0">
        <w:rPr>
          <w:spacing w:val="0"/>
          <w:sz w:val="28"/>
          <w:szCs w:val="28"/>
          <w:lang w:val="uk-UA"/>
        </w:rPr>
        <w:t xml:space="preserve">- </w:t>
      </w:r>
      <w:r w:rsidR="00C3244F" w:rsidRPr="009C6A15">
        <w:rPr>
          <w:spacing w:val="0"/>
          <w:sz w:val="28"/>
          <w:szCs w:val="28"/>
          <w:lang w:val="uk-UA"/>
        </w:rPr>
        <w:t>з ін</w:t>
      </w:r>
      <w:r w:rsidRPr="009C6A15">
        <w:rPr>
          <w:spacing w:val="0"/>
          <w:sz w:val="28"/>
          <w:szCs w:val="28"/>
          <w:lang w:val="uk-UA"/>
        </w:rPr>
        <w:t>дексом цін</w:t>
      </w:r>
      <w:r w:rsidR="00C3244F" w:rsidRPr="009C6A15">
        <w:rPr>
          <w:spacing w:val="0"/>
          <w:sz w:val="28"/>
          <w:szCs w:val="28"/>
          <w:lang w:val="uk-UA"/>
        </w:rPr>
        <w:t>. Незначний зв'язок існує між індексом ПФТС і індексом п</w:t>
      </w:r>
      <w:r w:rsidR="00177BC0">
        <w:rPr>
          <w:spacing w:val="0"/>
          <w:sz w:val="28"/>
          <w:szCs w:val="28"/>
          <w:lang w:val="uk-UA"/>
        </w:rPr>
        <w:t xml:space="preserve">ромислового виробництва, що пояснюється обмеженим колом галузей промисловості, представлених підприємствами, які входять до складу індексу. </w:t>
      </w:r>
      <w:r w:rsidR="00C3244F" w:rsidRPr="009C6A15">
        <w:rPr>
          <w:color w:val="000000"/>
          <w:spacing w:val="0"/>
          <w:sz w:val="28"/>
          <w:szCs w:val="28"/>
          <w:lang w:val="uk-UA"/>
        </w:rPr>
        <w:t xml:space="preserve">Отримана </w:t>
      </w:r>
      <w:r w:rsidR="00177BC0">
        <w:rPr>
          <w:color w:val="000000"/>
          <w:spacing w:val="0"/>
          <w:sz w:val="28"/>
          <w:szCs w:val="28"/>
          <w:lang w:val="uk-UA"/>
        </w:rPr>
        <w:t xml:space="preserve">кореляційно-регресійна </w:t>
      </w:r>
      <w:r w:rsidR="00C3244F" w:rsidRPr="009C6A15">
        <w:rPr>
          <w:color w:val="000000"/>
          <w:spacing w:val="0"/>
          <w:sz w:val="28"/>
          <w:szCs w:val="28"/>
          <w:lang w:val="uk-UA"/>
        </w:rPr>
        <w:t xml:space="preserve">модель </w:t>
      </w:r>
      <w:r w:rsidR="00177BC0">
        <w:rPr>
          <w:color w:val="000000"/>
          <w:spacing w:val="0"/>
          <w:sz w:val="28"/>
          <w:szCs w:val="28"/>
          <w:lang w:val="uk-UA"/>
        </w:rPr>
        <w:t xml:space="preserve">залежності індексу ПФТС від темпів інфляції </w:t>
      </w:r>
      <w:r w:rsidR="00C3244F" w:rsidRPr="009C6A15">
        <w:rPr>
          <w:color w:val="000000"/>
          <w:spacing w:val="0"/>
          <w:sz w:val="28"/>
          <w:szCs w:val="28"/>
          <w:lang w:val="uk-UA"/>
        </w:rPr>
        <w:t xml:space="preserve">є </w:t>
      </w:r>
      <w:r w:rsidR="00177BC0">
        <w:rPr>
          <w:color w:val="000000"/>
          <w:spacing w:val="0"/>
          <w:sz w:val="28"/>
          <w:szCs w:val="28"/>
          <w:lang w:val="uk-UA"/>
        </w:rPr>
        <w:t>високо вірогідною і статистично значущою. Вона показує, що при збільшенні темпу інфляції на 1% значення індексу ПФТС скорочується на 44,52 б.п.</w:t>
      </w:r>
      <w:r w:rsidR="00833715">
        <w:rPr>
          <w:color w:val="000000"/>
          <w:spacing w:val="0"/>
          <w:sz w:val="28"/>
          <w:szCs w:val="28"/>
          <w:lang w:val="uk-UA"/>
        </w:rPr>
        <w:t xml:space="preserve"> Таким чином, індикатори фінансового ринку України більшою мірою відображають загальноекономічні процеси, ніж стан реального сектора економіки. </w:t>
      </w:r>
    </w:p>
    <w:p w:rsidR="004F5780" w:rsidRDefault="00177BC0" w:rsidP="004F5780">
      <w:pPr>
        <w:ind w:firstLine="720"/>
        <w:jc w:val="both"/>
        <w:rPr>
          <w:spacing w:val="0"/>
          <w:sz w:val="28"/>
          <w:szCs w:val="28"/>
          <w:lang w:val="uk-UA"/>
        </w:rPr>
      </w:pPr>
      <w:r>
        <w:rPr>
          <w:spacing w:val="0"/>
          <w:sz w:val="28"/>
          <w:szCs w:val="28"/>
          <w:lang w:val="uk-UA"/>
        </w:rPr>
        <w:t xml:space="preserve">5. Пропозиціями щодо </w:t>
      </w:r>
      <w:r w:rsidRPr="00A67AE8">
        <w:rPr>
          <w:spacing w:val="0"/>
          <w:sz w:val="28"/>
          <w:szCs w:val="28"/>
          <w:lang w:val="uk-UA"/>
        </w:rPr>
        <w:t xml:space="preserve">взаємно-стимулюючого розвитку фондового ринку </w:t>
      </w:r>
      <w:r w:rsidRPr="004F5780">
        <w:rPr>
          <w:spacing w:val="0"/>
          <w:sz w:val="28"/>
          <w:szCs w:val="28"/>
          <w:lang w:val="uk-UA"/>
        </w:rPr>
        <w:t xml:space="preserve">і національної економіки є: </w:t>
      </w:r>
    </w:p>
    <w:p w:rsidR="004F5780" w:rsidRDefault="004F5780" w:rsidP="004F5780">
      <w:pPr>
        <w:ind w:firstLine="720"/>
        <w:jc w:val="both"/>
        <w:rPr>
          <w:spacing w:val="0"/>
          <w:sz w:val="28"/>
          <w:szCs w:val="28"/>
          <w:lang w:val="uk-UA"/>
        </w:rPr>
      </w:pPr>
      <w:r>
        <w:rPr>
          <w:spacing w:val="0"/>
          <w:sz w:val="28"/>
          <w:szCs w:val="28"/>
          <w:lang w:val="uk-UA"/>
        </w:rPr>
        <w:t xml:space="preserve">- у реальному секторі: </w:t>
      </w:r>
      <w:r w:rsidR="00563F5A" w:rsidRPr="004F5780">
        <w:rPr>
          <w:spacing w:val="0"/>
          <w:sz w:val="28"/>
          <w:szCs w:val="28"/>
          <w:lang w:val="uk-UA"/>
        </w:rPr>
        <w:t xml:space="preserve">структурні </w:t>
      </w:r>
      <w:r w:rsidR="004D3894" w:rsidRPr="004F5780">
        <w:rPr>
          <w:spacing w:val="0"/>
          <w:sz w:val="28"/>
          <w:szCs w:val="28"/>
          <w:lang w:val="uk-UA"/>
        </w:rPr>
        <w:t>реформи на основі впровадження інноваційних</w:t>
      </w:r>
      <w:r w:rsidRPr="004F5780">
        <w:rPr>
          <w:spacing w:val="0"/>
          <w:sz w:val="28"/>
          <w:szCs w:val="28"/>
          <w:lang w:val="uk-UA"/>
        </w:rPr>
        <w:t xml:space="preserve"> технологій, орієнтація національних виробників на внутрішній попит, розвиток  агро-, </w:t>
      </w:r>
      <w:r>
        <w:rPr>
          <w:spacing w:val="0"/>
          <w:sz w:val="28"/>
          <w:szCs w:val="28"/>
          <w:lang w:val="uk-UA"/>
        </w:rPr>
        <w:t>харчової</w:t>
      </w:r>
      <w:r w:rsidRPr="004F5780">
        <w:rPr>
          <w:spacing w:val="0"/>
          <w:sz w:val="28"/>
          <w:szCs w:val="28"/>
          <w:lang w:val="uk-UA"/>
        </w:rPr>
        <w:t xml:space="preserve"> і </w:t>
      </w:r>
      <w:r>
        <w:rPr>
          <w:spacing w:val="0"/>
          <w:sz w:val="28"/>
          <w:szCs w:val="28"/>
          <w:lang w:val="uk-UA"/>
        </w:rPr>
        <w:t>легкої</w:t>
      </w:r>
      <w:r w:rsidRPr="004F5780">
        <w:rPr>
          <w:spacing w:val="0"/>
          <w:sz w:val="28"/>
          <w:szCs w:val="28"/>
          <w:lang w:val="uk-UA"/>
        </w:rPr>
        <w:t xml:space="preserve"> промисловості</w:t>
      </w:r>
      <w:r>
        <w:rPr>
          <w:spacing w:val="0"/>
          <w:sz w:val="28"/>
          <w:szCs w:val="28"/>
          <w:lang w:val="uk-UA"/>
        </w:rPr>
        <w:t>,</w:t>
      </w:r>
      <w:r w:rsidRPr="004F5780">
        <w:rPr>
          <w:spacing w:val="0"/>
          <w:sz w:val="28"/>
          <w:szCs w:val="28"/>
          <w:lang w:val="uk-UA"/>
        </w:rPr>
        <w:t xml:space="preserve"> попит на продукцію </w:t>
      </w:r>
      <w:r>
        <w:rPr>
          <w:spacing w:val="0"/>
          <w:sz w:val="28"/>
          <w:szCs w:val="28"/>
          <w:lang w:val="uk-UA"/>
        </w:rPr>
        <w:t xml:space="preserve">яких </w:t>
      </w:r>
      <w:r w:rsidRPr="004F5780">
        <w:rPr>
          <w:spacing w:val="0"/>
          <w:sz w:val="28"/>
          <w:szCs w:val="28"/>
          <w:lang w:val="uk-UA"/>
        </w:rPr>
        <w:t>найменш еластичним до доходів населення</w:t>
      </w:r>
      <w:r>
        <w:rPr>
          <w:spacing w:val="0"/>
          <w:sz w:val="28"/>
          <w:szCs w:val="28"/>
          <w:lang w:val="uk-UA"/>
        </w:rPr>
        <w:t xml:space="preserve">; </w:t>
      </w:r>
    </w:p>
    <w:p w:rsidR="007D3790" w:rsidRDefault="004F5780" w:rsidP="007D3790">
      <w:pPr>
        <w:ind w:firstLine="700"/>
        <w:jc w:val="both"/>
        <w:rPr>
          <w:spacing w:val="0"/>
          <w:sz w:val="28"/>
          <w:szCs w:val="28"/>
          <w:lang w:val="uk-UA"/>
        </w:rPr>
      </w:pPr>
      <w:r>
        <w:rPr>
          <w:spacing w:val="0"/>
          <w:sz w:val="28"/>
          <w:szCs w:val="28"/>
          <w:lang w:val="uk-UA" w:bidi="ta-IN"/>
        </w:rPr>
        <w:t>- у фінансовому секторі</w:t>
      </w:r>
      <w:r w:rsidR="007D3790">
        <w:rPr>
          <w:spacing w:val="0"/>
          <w:sz w:val="28"/>
          <w:szCs w:val="28"/>
          <w:lang w:val="uk-UA" w:bidi="ta-IN"/>
        </w:rPr>
        <w:t>:</w:t>
      </w:r>
      <w:r w:rsidR="004818B0" w:rsidRPr="00177BC0">
        <w:rPr>
          <w:spacing w:val="0"/>
          <w:sz w:val="28"/>
          <w:szCs w:val="28"/>
          <w:lang w:val="uk-UA" w:bidi="ta-IN"/>
        </w:rPr>
        <w:t xml:space="preserve"> підвищення капіталізації акцій емітента, ф</w:t>
      </w:r>
      <w:r w:rsidR="004818B0" w:rsidRPr="00177BC0">
        <w:rPr>
          <w:spacing w:val="0"/>
          <w:sz w:val="28"/>
          <w:szCs w:val="28"/>
          <w:lang w:val="uk-UA"/>
        </w:rPr>
        <w:t xml:space="preserve">ормування і ефективний розвиток публічного організованого ринку цінних паперів; становлення інституту маркет-мейкерів (менеджерів ринку цінних паперів), наявність чіткої стратегії розподілу прибутку і дивідендної політики. </w:t>
      </w:r>
    </w:p>
    <w:p w:rsidR="004862E7" w:rsidRDefault="007D3790" w:rsidP="007D3790">
      <w:pPr>
        <w:ind w:firstLine="700"/>
        <w:jc w:val="both"/>
        <w:rPr>
          <w:spacing w:val="0"/>
          <w:sz w:val="28"/>
          <w:szCs w:val="28"/>
          <w:lang w:val="uk-UA"/>
        </w:rPr>
      </w:pPr>
      <w:r>
        <w:rPr>
          <w:spacing w:val="0"/>
          <w:sz w:val="28"/>
          <w:szCs w:val="28"/>
          <w:lang w:val="uk-UA"/>
        </w:rPr>
        <w:t xml:space="preserve">Розширення складу індексного кошику ПФТС у галузевому аспекті сприятиме збільшенню кореляції між індикаторами фінансового і реального секторів економіки. </w:t>
      </w:r>
    </w:p>
    <w:p w:rsidR="007D3790" w:rsidRPr="007E0AC1" w:rsidRDefault="007D3790" w:rsidP="007D3790">
      <w:pPr>
        <w:ind w:firstLine="700"/>
        <w:jc w:val="both"/>
        <w:rPr>
          <w:spacing w:val="0"/>
          <w:sz w:val="28"/>
          <w:szCs w:val="28"/>
          <w:lang w:val="uk-UA"/>
        </w:rPr>
      </w:pPr>
      <w:r>
        <w:rPr>
          <w:spacing w:val="0"/>
          <w:sz w:val="28"/>
          <w:szCs w:val="28"/>
          <w:lang w:val="uk-UA"/>
        </w:rPr>
        <w:t>Метою подальших досліджень є оцінка рівня корпоративного управління підприємств, акції яких входять до індексного кошика ПФТС.</w:t>
      </w:r>
    </w:p>
    <w:p w:rsidR="007D3790" w:rsidRDefault="007D3790" w:rsidP="00BD1886">
      <w:pPr>
        <w:jc w:val="center"/>
        <w:rPr>
          <w:b/>
          <w:spacing w:val="0"/>
          <w:sz w:val="28"/>
          <w:szCs w:val="28"/>
          <w:lang w:val="uk-UA"/>
        </w:rPr>
      </w:pPr>
    </w:p>
    <w:p w:rsidR="00BD1886" w:rsidRPr="007E0AC1" w:rsidRDefault="00BD1886" w:rsidP="00BD1886">
      <w:pPr>
        <w:jc w:val="center"/>
        <w:rPr>
          <w:b/>
          <w:spacing w:val="0"/>
          <w:sz w:val="28"/>
          <w:szCs w:val="28"/>
          <w:lang w:val="uk-UA"/>
        </w:rPr>
      </w:pPr>
      <w:r w:rsidRPr="007E0AC1">
        <w:rPr>
          <w:b/>
          <w:spacing w:val="0"/>
          <w:sz w:val="28"/>
          <w:szCs w:val="28"/>
          <w:lang w:val="uk-UA"/>
        </w:rPr>
        <w:t>Література</w:t>
      </w:r>
    </w:p>
    <w:p w:rsidR="00BD1886" w:rsidRPr="007E0AC1" w:rsidRDefault="00BD1886" w:rsidP="00BD1886">
      <w:pPr>
        <w:numPr>
          <w:ilvl w:val="0"/>
          <w:numId w:val="11"/>
        </w:numPr>
        <w:tabs>
          <w:tab w:val="num" w:pos="0"/>
          <w:tab w:val="left" w:pos="1080"/>
        </w:tabs>
        <w:autoSpaceDE w:val="0"/>
        <w:autoSpaceDN w:val="0"/>
        <w:adjustRightInd w:val="0"/>
        <w:ind w:left="0" w:firstLine="720"/>
        <w:jc w:val="both"/>
        <w:rPr>
          <w:spacing w:val="0"/>
          <w:sz w:val="28"/>
          <w:szCs w:val="28"/>
          <w:lang w:val="uk-UA"/>
        </w:rPr>
      </w:pPr>
      <w:r w:rsidRPr="007E0AC1">
        <w:rPr>
          <w:spacing w:val="0"/>
          <w:sz w:val="28"/>
          <w:szCs w:val="28"/>
          <w:lang w:val="uk-UA"/>
        </w:rPr>
        <w:t>Про соціально-економічне становище України за січень 2009 р. [Електронний ресурс] – К.: Державний комітет статистики. – 108 с. – Режим доступу: &lt;http://www.ukrstat.gov.ua/&gt;</w:t>
      </w:r>
    </w:p>
    <w:p w:rsidR="00BD1886" w:rsidRPr="007E0AC1" w:rsidRDefault="00BD1886" w:rsidP="00BD1886">
      <w:pPr>
        <w:numPr>
          <w:ilvl w:val="0"/>
          <w:numId w:val="11"/>
        </w:numPr>
        <w:tabs>
          <w:tab w:val="num" w:pos="0"/>
          <w:tab w:val="left" w:pos="1080"/>
        </w:tabs>
        <w:ind w:left="0" w:firstLine="720"/>
        <w:rPr>
          <w:spacing w:val="0"/>
          <w:sz w:val="28"/>
          <w:szCs w:val="28"/>
          <w:lang w:val="uk-UA"/>
        </w:rPr>
      </w:pPr>
      <w:r w:rsidRPr="007E0AC1">
        <w:rPr>
          <w:spacing w:val="0"/>
          <w:sz w:val="28"/>
          <w:szCs w:val="28"/>
          <w:lang w:val="uk-UA"/>
        </w:rPr>
        <w:t>Аналіз</w:t>
      </w:r>
      <w:r w:rsidRPr="007E0AC1">
        <w:rPr>
          <w:rFonts w:cs="Arial"/>
          <w:spacing w:val="0"/>
          <w:sz w:val="28"/>
          <w:szCs w:val="28"/>
          <w:lang w:val="uk-UA"/>
        </w:rPr>
        <w:t xml:space="preserve"> </w:t>
      </w:r>
      <w:r w:rsidRPr="007E0AC1">
        <w:rPr>
          <w:spacing w:val="0"/>
          <w:sz w:val="28"/>
          <w:szCs w:val="28"/>
          <w:lang w:val="uk-UA"/>
        </w:rPr>
        <w:t>фондового</w:t>
      </w:r>
      <w:r w:rsidRPr="007E0AC1">
        <w:rPr>
          <w:rFonts w:cs="Arial"/>
          <w:spacing w:val="0"/>
          <w:sz w:val="28"/>
          <w:szCs w:val="28"/>
          <w:lang w:val="uk-UA"/>
        </w:rPr>
        <w:t xml:space="preserve"> </w:t>
      </w:r>
      <w:r w:rsidRPr="007E0AC1">
        <w:rPr>
          <w:spacing w:val="0"/>
          <w:sz w:val="28"/>
          <w:szCs w:val="28"/>
          <w:lang w:val="uk-UA"/>
        </w:rPr>
        <w:t>ринку</w:t>
      </w:r>
      <w:r w:rsidRPr="007E0AC1">
        <w:rPr>
          <w:rFonts w:cs="Arial"/>
          <w:spacing w:val="0"/>
          <w:sz w:val="28"/>
          <w:szCs w:val="28"/>
          <w:lang w:val="uk-UA"/>
        </w:rPr>
        <w:t xml:space="preserve"> </w:t>
      </w:r>
      <w:r w:rsidRPr="007E0AC1">
        <w:rPr>
          <w:spacing w:val="0"/>
          <w:sz w:val="28"/>
          <w:szCs w:val="28"/>
          <w:lang w:val="uk-UA"/>
        </w:rPr>
        <w:t>за</w:t>
      </w:r>
      <w:r w:rsidRPr="007E0AC1">
        <w:rPr>
          <w:rFonts w:cs="Arial"/>
          <w:spacing w:val="0"/>
          <w:sz w:val="28"/>
          <w:szCs w:val="28"/>
          <w:lang w:val="uk-UA"/>
        </w:rPr>
        <w:t xml:space="preserve"> </w:t>
      </w:r>
      <w:r w:rsidRPr="007E0AC1">
        <w:rPr>
          <w:spacing w:val="0"/>
          <w:sz w:val="28"/>
          <w:szCs w:val="28"/>
          <w:lang w:val="uk-UA"/>
        </w:rPr>
        <w:t>січень</w:t>
      </w:r>
      <w:r w:rsidRPr="007E0AC1">
        <w:rPr>
          <w:rFonts w:cs="Arial"/>
          <w:spacing w:val="0"/>
          <w:sz w:val="28"/>
          <w:szCs w:val="28"/>
          <w:lang w:val="uk-UA"/>
        </w:rPr>
        <w:t xml:space="preserve"> 2009 </w:t>
      </w:r>
      <w:r w:rsidRPr="007E0AC1">
        <w:rPr>
          <w:spacing w:val="0"/>
          <w:sz w:val="28"/>
          <w:szCs w:val="28"/>
          <w:lang w:val="uk-UA"/>
        </w:rPr>
        <w:t>року [Електронний ресурс]. – К.: НБУ, 6 с. – Режим доступу: &lt;</w:t>
      </w:r>
      <w:hyperlink r:id="rId12" w:history="1">
        <w:r w:rsidRPr="007E0AC1">
          <w:rPr>
            <w:rStyle w:val="a4"/>
            <w:color w:val="auto"/>
            <w:spacing w:val="0"/>
            <w:sz w:val="28"/>
            <w:szCs w:val="28"/>
            <w:u w:val="none"/>
            <w:lang w:val="uk-UA"/>
          </w:rPr>
          <w:t>http://www.bank.gov.ua/Publication/Analytical/EOFR/EOFR_01_2009.pdf</w:t>
        </w:r>
      </w:hyperlink>
      <w:r w:rsidRPr="007E0AC1">
        <w:rPr>
          <w:spacing w:val="0"/>
          <w:sz w:val="28"/>
          <w:szCs w:val="28"/>
          <w:lang w:val="uk-UA"/>
        </w:rPr>
        <w:t>&gt;</w:t>
      </w:r>
    </w:p>
    <w:p w:rsidR="00BD1886" w:rsidRPr="007E0AC1" w:rsidRDefault="00BD1886" w:rsidP="00BD1886">
      <w:pPr>
        <w:pStyle w:val="a6"/>
        <w:numPr>
          <w:ilvl w:val="0"/>
          <w:numId w:val="11"/>
        </w:numPr>
        <w:tabs>
          <w:tab w:val="num" w:pos="0"/>
          <w:tab w:val="left" w:pos="1080"/>
        </w:tabs>
        <w:ind w:left="0" w:firstLine="720"/>
        <w:jc w:val="both"/>
        <w:rPr>
          <w:spacing w:val="0"/>
          <w:sz w:val="28"/>
          <w:szCs w:val="28"/>
          <w:lang w:val="uk-UA"/>
        </w:rPr>
      </w:pPr>
      <w:r w:rsidRPr="007E0AC1">
        <w:rPr>
          <w:spacing w:val="0"/>
          <w:sz w:val="28"/>
          <w:szCs w:val="28"/>
          <w:lang w:val="uk-UA"/>
        </w:rPr>
        <w:lastRenderedPageBreak/>
        <w:t xml:space="preserve">Котляров, С.Л. </w:t>
      </w:r>
      <w:r w:rsidRPr="007E0AC1">
        <w:rPr>
          <w:bCs/>
          <w:spacing w:val="0"/>
          <w:sz w:val="28"/>
          <w:szCs w:val="28"/>
          <w:lang w:val="uk-UA"/>
        </w:rPr>
        <w:t>Трансформація фондових ринків країн Центральної та Східної Європи</w:t>
      </w:r>
      <w:r w:rsidRPr="007E0AC1">
        <w:rPr>
          <w:spacing w:val="0"/>
          <w:sz w:val="28"/>
          <w:szCs w:val="28"/>
          <w:lang w:val="uk-UA"/>
        </w:rPr>
        <w:t>: автореф. дис... канд. екон. наук: 08.00.02 [Текст] / С.Л. Котляров; Держ. вищ. навч. закл. "Київ. нац. екон. ун-т ім. В.Гетьмана". - К., 2008. - 16 с.</w:t>
      </w:r>
    </w:p>
    <w:p w:rsidR="00BD1886" w:rsidRPr="007E0AC1" w:rsidRDefault="00BD1886" w:rsidP="00BD1886">
      <w:pPr>
        <w:pStyle w:val="a6"/>
        <w:numPr>
          <w:ilvl w:val="0"/>
          <w:numId w:val="11"/>
        </w:numPr>
        <w:tabs>
          <w:tab w:val="num" w:pos="0"/>
          <w:tab w:val="left" w:pos="1080"/>
        </w:tabs>
        <w:ind w:left="0" w:firstLine="720"/>
        <w:jc w:val="both"/>
        <w:rPr>
          <w:spacing w:val="0"/>
          <w:sz w:val="28"/>
          <w:szCs w:val="28"/>
          <w:lang w:val="uk-UA"/>
        </w:rPr>
      </w:pPr>
      <w:r w:rsidRPr="007E0AC1">
        <w:rPr>
          <w:spacing w:val="0"/>
          <w:sz w:val="28"/>
          <w:szCs w:val="28"/>
          <w:lang w:val="uk-UA"/>
        </w:rPr>
        <w:t xml:space="preserve">Куліш, О.А. </w:t>
      </w:r>
      <w:r w:rsidRPr="007E0AC1">
        <w:rPr>
          <w:bCs/>
          <w:spacing w:val="0"/>
          <w:sz w:val="28"/>
          <w:szCs w:val="28"/>
          <w:lang w:val="uk-UA"/>
        </w:rPr>
        <w:t>Фондовий ринок у системі економічні відносин</w:t>
      </w:r>
      <w:r w:rsidRPr="007E0AC1">
        <w:rPr>
          <w:spacing w:val="0"/>
          <w:sz w:val="28"/>
          <w:szCs w:val="28"/>
          <w:lang w:val="uk-UA"/>
        </w:rPr>
        <w:t>: автореф. дис... канд. екон. наук: 08.00.01 [Текст] / О.А. Куліш; Донец. нац. ун-т. - Донецьк, 2008. - 20 с.</w:t>
      </w:r>
    </w:p>
    <w:p w:rsidR="00BD1886" w:rsidRPr="007E0AC1" w:rsidRDefault="00BD1886" w:rsidP="00BD1886">
      <w:pPr>
        <w:pStyle w:val="a6"/>
        <w:numPr>
          <w:ilvl w:val="0"/>
          <w:numId w:val="11"/>
        </w:numPr>
        <w:tabs>
          <w:tab w:val="num" w:pos="0"/>
          <w:tab w:val="left" w:pos="1080"/>
        </w:tabs>
        <w:ind w:left="0" w:firstLine="720"/>
        <w:jc w:val="both"/>
        <w:rPr>
          <w:spacing w:val="0"/>
          <w:sz w:val="28"/>
          <w:szCs w:val="28"/>
          <w:lang w:val="uk-UA"/>
        </w:rPr>
      </w:pPr>
      <w:r w:rsidRPr="007E0AC1">
        <w:rPr>
          <w:spacing w:val="0"/>
          <w:sz w:val="28"/>
          <w:szCs w:val="28"/>
          <w:lang w:val="uk-UA"/>
        </w:rPr>
        <w:t xml:space="preserve">Шелудько, Н.М. </w:t>
      </w:r>
      <w:r w:rsidRPr="007E0AC1">
        <w:rPr>
          <w:bCs/>
          <w:spacing w:val="0"/>
          <w:sz w:val="28"/>
          <w:szCs w:val="28"/>
          <w:lang w:val="uk-UA"/>
        </w:rPr>
        <w:t>Кредитний механізм реалізації інвестиційної політики</w:t>
      </w:r>
      <w:r w:rsidRPr="007E0AC1">
        <w:rPr>
          <w:spacing w:val="0"/>
          <w:sz w:val="28"/>
          <w:szCs w:val="28"/>
          <w:lang w:val="uk-UA"/>
        </w:rPr>
        <w:t>: автореф. дис... д-ра екон. наук: 08.00.08 [Текст] / Н.М. Шелудько; Держ. установа "Ін-т економіки та прогнозування НАН України". - К., 2008. - 40 с.</w:t>
      </w:r>
    </w:p>
    <w:p w:rsidR="00BD1886" w:rsidRPr="007E0AC1" w:rsidRDefault="00BD1886" w:rsidP="00BD1886">
      <w:pPr>
        <w:numPr>
          <w:ilvl w:val="0"/>
          <w:numId w:val="11"/>
        </w:numPr>
        <w:tabs>
          <w:tab w:val="num" w:pos="0"/>
          <w:tab w:val="left" w:pos="1080"/>
        </w:tabs>
        <w:ind w:left="0" w:firstLine="720"/>
        <w:jc w:val="both"/>
        <w:rPr>
          <w:caps/>
          <w:color w:val="000000"/>
          <w:spacing w:val="0"/>
          <w:sz w:val="28"/>
          <w:szCs w:val="28"/>
          <w:lang w:val="uk-UA"/>
        </w:rPr>
      </w:pPr>
      <w:r w:rsidRPr="007E0AC1">
        <w:rPr>
          <w:caps/>
          <w:spacing w:val="0"/>
          <w:sz w:val="28"/>
          <w:szCs w:val="28"/>
          <w:lang w:val="uk-UA"/>
        </w:rPr>
        <w:t>К</w:t>
      </w:r>
      <w:r w:rsidRPr="007E0AC1">
        <w:rPr>
          <w:spacing w:val="0"/>
          <w:sz w:val="28"/>
          <w:szCs w:val="28"/>
          <w:lang w:val="uk-UA"/>
        </w:rPr>
        <w:t>алач,</w:t>
      </w:r>
      <w:r w:rsidRPr="007E0AC1">
        <w:rPr>
          <w:caps/>
          <w:spacing w:val="0"/>
          <w:sz w:val="28"/>
          <w:szCs w:val="28"/>
          <w:lang w:val="uk-UA"/>
        </w:rPr>
        <w:t xml:space="preserve"> Г.М. </w:t>
      </w:r>
      <w:r w:rsidRPr="007E0AC1">
        <w:rPr>
          <w:spacing w:val="0"/>
          <w:sz w:val="28"/>
          <w:szCs w:val="28"/>
          <w:lang w:val="uk-UA"/>
        </w:rPr>
        <w:t xml:space="preserve">Вплив фінансової глобалізації на фондовий ринок України [Текст] / Г.М. // Фінанси України. – 2009. - №1. </w:t>
      </w:r>
      <w:r w:rsidRPr="007E0AC1">
        <w:rPr>
          <w:color w:val="000000"/>
          <w:spacing w:val="0"/>
          <w:sz w:val="28"/>
          <w:szCs w:val="28"/>
          <w:lang w:val="uk-UA"/>
        </w:rPr>
        <w:t>- С. 115–121.</w:t>
      </w:r>
    </w:p>
    <w:p w:rsidR="00BD1886" w:rsidRPr="007E0AC1" w:rsidRDefault="00BD1886" w:rsidP="00BD1886">
      <w:pPr>
        <w:pStyle w:val="a6"/>
        <w:numPr>
          <w:ilvl w:val="0"/>
          <w:numId w:val="11"/>
        </w:numPr>
        <w:tabs>
          <w:tab w:val="num" w:pos="0"/>
          <w:tab w:val="left" w:pos="1080"/>
        </w:tabs>
        <w:ind w:left="0" w:firstLine="720"/>
        <w:jc w:val="both"/>
        <w:rPr>
          <w:spacing w:val="0"/>
          <w:sz w:val="28"/>
          <w:szCs w:val="28"/>
          <w:lang w:val="uk-UA"/>
        </w:rPr>
      </w:pPr>
      <w:r w:rsidRPr="007E0AC1">
        <w:rPr>
          <w:spacing w:val="0"/>
          <w:sz w:val="28"/>
          <w:szCs w:val="28"/>
          <w:lang w:val="uk-UA"/>
        </w:rPr>
        <w:t xml:space="preserve">Собкевич, О.В. </w:t>
      </w:r>
      <w:r w:rsidRPr="007E0AC1">
        <w:rPr>
          <w:bCs/>
          <w:spacing w:val="0"/>
          <w:sz w:val="28"/>
          <w:szCs w:val="28"/>
          <w:lang w:val="uk-UA"/>
        </w:rPr>
        <w:t>Розвиток фондового ринку України як чинник підвищення рівня економічної безпеки держави</w:t>
      </w:r>
      <w:r w:rsidRPr="007E0AC1">
        <w:rPr>
          <w:spacing w:val="0"/>
          <w:sz w:val="28"/>
          <w:szCs w:val="28"/>
          <w:lang w:val="uk-UA"/>
        </w:rPr>
        <w:t>: автореф. дис... канд. екон. наук: 21.04.01 [Текст] / О.В. Собкевич; Рада нац. безпеки і оборони України, Нац. ін-т пробл. міжнар. безпеки. - К., 2008. - 20 с.</w:t>
      </w:r>
    </w:p>
    <w:p w:rsidR="00BD1886" w:rsidRPr="007E0AC1" w:rsidRDefault="00BD1886" w:rsidP="00BD1886">
      <w:pPr>
        <w:pStyle w:val="a6"/>
        <w:numPr>
          <w:ilvl w:val="0"/>
          <w:numId w:val="11"/>
        </w:numPr>
        <w:tabs>
          <w:tab w:val="num" w:pos="0"/>
          <w:tab w:val="left" w:pos="1080"/>
        </w:tabs>
        <w:ind w:left="0" w:firstLine="720"/>
        <w:jc w:val="both"/>
        <w:rPr>
          <w:spacing w:val="0"/>
          <w:sz w:val="28"/>
          <w:szCs w:val="28"/>
          <w:lang w:val="uk-UA"/>
        </w:rPr>
      </w:pPr>
      <w:r w:rsidRPr="007E0AC1">
        <w:rPr>
          <w:spacing w:val="0"/>
          <w:sz w:val="28"/>
          <w:szCs w:val="28"/>
          <w:lang w:val="uk-UA"/>
        </w:rPr>
        <w:t xml:space="preserve">Зомчак, Л.М. </w:t>
      </w:r>
      <w:r w:rsidRPr="007E0AC1">
        <w:rPr>
          <w:bCs/>
          <w:spacing w:val="0"/>
          <w:sz w:val="28"/>
          <w:szCs w:val="28"/>
          <w:lang w:val="uk-UA"/>
        </w:rPr>
        <w:t>Моделювання динамічних характеристик фінансових активів в умовах стохастичного середовища</w:t>
      </w:r>
      <w:r w:rsidRPr="007E0AC1">
        <w:rPr>
          <w:spacing w:val="0"/>
          <w:sz w:val="28"/>
          <w:szCs w:val="28"/>
          <w:lang w:val="uk-UA"/>
        </w:rPr>
        <w:t>: автореф. дис... канд. екон. наук: 08.00.11 [Текст] / Л.М. Зомчак; Львів. нац. ун-т ім. І.Франка. - Л., 2008. - 20 с.</w:t>
      </w:r>
    </w:p>
    <w:p w:rsidR="00BD1886" w:rsidRPr="007E0AC1" w:rsidRDefault="00BD1886" w:rsidP="00BD1886">
      <w:pPr>
        <w:numPr>
          <w:ilvl w:val="0"/>
          <w:numId w:val="11"/>
        </w:numPr>
        <w:tabs>
          <w:tab w:val="num" w:pos="0"/>
          <w:tab w:val="left" w:pos="1080"/>
        </w:tabs>
        <w:ind w:left="0" w:firstLine="720"/>
        <w:jc w:val="both"/>
        <w:rPr>
          <w:spacing w:val="0"/>
          <w:sz w:val="28"/>
          <w:szCs w:val="28"/>
          <w:lang w:val="uk-UA"/>
        </w:rPr>
      </w:pPr>
      <w:r w:rsidRPr="007E0AC1">
        <w:rPr>
          <w:spacing w:val="0"/>
          <w:sz w:val="28"/>
          <w:szCs w:val="28"/>
          <w:lang w:val="uk-UA"/>
        </w:rPr>
        <w:t xml:space="preserve">Андрощук, Т.О. </w:t>
      </w:r>
      <w:r w:rsidRPr="007E0AC1">
        <w:rPr>
          <w:bCs/>
          <w:spacing w:val="0"/>
          <w:sz w:val="28"/>
          <w:szCs w:val="28"/>
          <w:lang w:val="uk-UA"/>
        </w:rPr>
        <w:t>Моделі в фінансовій математиці та математичній статистиці із залученням дробового броунівського руху</w:t>
      </w:r>
      <w:r w:rsidRPr="007E0AC1">
        <w:rPr>
          <w:spacing w:val="0"/>
          <w:sz w:val="28"/>
          <w:szCs w:val="28"/>
          <w:lang w:val="uk-UA"/>
        </w:rPr>
        <w:t>: автореф. дис... канд. фіз.-мат. наук: 01.01.05 [Текст] / Т.О. Андрощук; Київ. нац. ун-т ім. Т.Шевченка. - К., 2008. - 22 с.</w:t>
      </w:r>
    </w:p>
    <w:p w:rsidR="00BD1886" w:rsidRPr="007E0AC1" w:rsidRDefault="00BD1886" w:rsidP="00BD1886">
      <w:pPr>
        <w:pStyle w:val="a6"/>
        <w:numPr>
          <w:ilvl w:val="0"/>
          <w:numId w:val="11"/>
        </w:numPr>
        <w:tabs>
          <w:tab w:val="num" w:pos="0"/>
          <w:tab w:val="left" w:pos="1080"/>
        </w:tabs>
        <w:ind w:left="0" w:firstLine="720"/>
        <w:jc w:val="both"/>
        <w:rPr>
          <w:spacing w:val="0"/>
          <w:sz w:val="28"/>
          <w:szCs w:val="28"/>
          <w:lang w:val="uk-UA"/>
        </w:rPr>
      </w:pPr>
      <w:r w:rsidRPr="007E0AC1">
        <w:rPr>
          <w:spacing w:val="0"/>
          <w:sz w:val="28"/>
          <w:szCs w:val="28"/>
          <w:lang w:val="uk-UA"/>
        </w:rPr>
        <w:t xml:space="preserve">Сидоренко, О.М. </w:t>
      </w:r>
      <w:r w:rsidRPr="007E0AC1">
        <w:rPr>
          <w:bCs/>
          <w:spacing w:val="0"/>
          <w:sz w:val="28"/>
          <w:szCs w:val="28"/>
          <w:lang w:val="uk-UA"/>
        </w:rPr>
        <w:t>Моделі і методи автоматизованого управління портфелем цінних паперів на фондовому ринку</w:t>
      </w:r>
      <w:r w:rsidRPr="007E0AC1">
        <w:rPr>
          <w:spacing w:val="0"/>
          <w:sz w:val="28"/>
          <w:szCs w:val="28"/>
          <w:lang w:val="uk-UA"/>
        </w:rPr>
        <w:t>: автореф. дис... канд. техн. наук: 05.13.06 [Текст] / О.М. Сидоренко; Нац. аерокосм. ун-т ім. М.Є.Жуковського "Харк. авіац. ін-т". - Х., 2008. - 18 с.</w:t>
      </w:r>
    </w:p>
    <w:p w:rsidR="00BD1886" w:rsidRPr="007E0AC1" w:rsidRDefault="00BD1886" w:rsidP="00BD1886">
      <w:pPr>
        <w:numPr>
          <w:ilvl w:val="0"/>
          <w:numId w:val="11"/>
        </w:numPr>
        <w:tabs>
          <w:tab w:val="num" w:pos="0"/>
          <w:tab w:val="left" w:pos="1080"/>
        </w:tabs>
        <w:ind w:left="0" w:firstLine="720"/>
        <w:jc w:val="both"/>
        <w:rPr>
          <w:spacing w:val="0"/>
          <w:sz w:val="28"/>
          <w:szCs w:val="28"/>
          <w:lang w:val="uk-UA"/>
        </w:rPr>
      </w:pPr>
      <w:r w:rsidRPr="007E0AC1">
        <w:rPr>
          <w:spacing w:val="0"/>
          <w:sz w:val="28"/>
          <w:szCs w:val="28"/>
          <w:lang w:val="uk-UA"/>
        </w:rPr>
        <w:t>Динамика изменения индекса ПФТС [Электронный ресурс]. – Режим доступа: &lt;</w:t>
      </w:r>
      <w:hyperlink r:id="rId13" w:history="1">
        <w:r w:rsidRPr="007E0AC1">
          <w:rPr>
            <w:rStyle w:val="a4"/>
            <w:color w:val="auto"/>
            <w:spacing w:val="0"/>
            <w:sz w:val="28"/>
            <w:szCs w:val="28"/>
            <w:u w:val="none"/>
            <w:lang w:val="uk-UA"/>
          </w:rPr>
          <w:t>http://currency.in.ua/stock/</w:t>
        </w:r>
      </w:hyperlink>
      <w:r w:rsidRPr="007E0AC1">
        <w:rPr>
          <w:spacing w:val="0"/>
          <w:sz w:val="28"/>
          <w:szCs w:val="28"/>
          <w:lang w:val="uk-UA"/>
        </w:rPr>
        <w:t>&gt;</w:t>
      </w:r>
    </w:p>
    <w:p w:rsidR="00BD1886" w:rsidRPr="007E0AC1" w:rsidRDefault="00BD1886" w:rsidP="00BD1886">
      <w:pPr>
        <w:numPr>
          <w:ilvl w:val="0"/>
          <w:numId w:val="11"/>
        </w:numPr>
        <w:tabs>
          <w:tab w:val="num" w:pos="0"/>
          <w:tab w:val="left" w:pos="1080"/>
        </w:tabs>
        <w:ind w:left="0" w:firstLine="720"/>
        <w:jc w:val="both"/>
        <w:rPr>
          <w:spacing w:val="0"/>
          <w:sz w:val="28"/>
          <w:szCs w:val="28"/>
          <w:lang w:val="uk-UA"/>
        </w:rPr>
      </w:pPr>
      <w:r w:rsidRPr="007E0AC1">
        <w:rPr>
          <w:bCs/>
          <w:spacing w:val="0"/>
          <w:sz w:val="28"/>
          <w:szCs w:val="28"/>
          <w:lang w:val="uk-UA"/>
        </w:rPr>
        <w:t xml:space="preserve">Фондовий ринок України в 2008 році </w:t>
      </w:r>
      <w:r w:rsidRPr="007E0AC1">
        <w:rPr>
          <w:spacing w:val="0"/>
          <w:sz w:val="28"/>
          <w:szCs w:val="28"/>
          <w:lang w:val="uk-UA"/>
        </w:rPr>
        <w:t>[Електронний ресурс]</w:t>
      </w:r>
      <w:r w:rsidRPr="007E0AC1">
        <w:rPr>
          <w:bCs/>
          <w:spacing w:val="0"/>
          <w:sz w:val="28"/>
          <w:szCs w:val="28"/>
          <w:lang w:val="uk-UA"/>
        </w:rPr>
        <w:t>. – К.:  ПФТС, 6 с. – Режим доступу: &lt;http://www.pfts.com/files/file/files/year_reports/2008_ukr.pdf&gt;</w:t>
      </w:r>
    </w:p>
    <w:p w:rsidR="00BD1886" w:rsidRPr="007E0AC1" w:rsidRDefault="00BD1886" w:rsidP="00A817A8">
      <w:pPr>
        <w:pStyle w:val="a6"/>
        <w:numPr>
          <w:ilvl w:val="0"/>
          <w:numId w:val="11"/>
        </w:numPr>
        <w:tabs>
          <w:tab w:val="num" w:pos="0"/>
          <w:tab w:val="left" w:pos="1080"/>
        </w:tabs>
        <w:ind w:left="0" w:firstLine="720"/>
        <w:jc w:val="both"/>
        <w:rPr>
          <w:spacing w:val="0"/>
          <w:sz w:val="28"/>
          <w:szCs w:val="28"/>
          <w:lang w:val="uk-UA"/>
        </w:rPr>
      </w:pPr>
      <w:r w:rsidRPr="007E0AC1">
        <w:rPr>
          <w:spacing w:val="0"/>
          <w:sz w:val="28"/>
          <w:szCs w:val="28"/>
          <w:lang w:val="uk-UA"/>
        </w:rPr>
        <w:t xml:space="preserve">Річний звіт ПФТС за 2007 р. </w:t>
      </w:r>
      <w:r w:rsidR="00A817A8" w:rsidRPr="007E0AC1">
        <w:rPr>
          <w:spacing w:val="0"/>
          <w:sz w:val="28"/>
          <w:szCs w:val="28"/>
          <w:lang w:val="uk-UA"/>
        </w:rPr>
        <w:t xml:space="preserve">[Електронний ресурс] </w:t>
      </w:r>
      <w:r w:rsidRPr="007E0AC1">
        <w:rPr>
          <w:spacing w:val="0"/>
          <w:sz w:val="28"/>
          <w:szCs w:val="28"/>
          <w:lang w:val="uk-UA"/>
        </w:rPr>
        <w:t xml:space="preserve">– К.: ПФТС, 48 с. </w:t>
      </w:r>
      <w:r w:rsidR="00A817A8" w:rsidRPr="007E0AC1">
        <w:rPr>
          <w:spacing w:val="0"/>
          <w:sz w:val="28"/>
          <w:szCs w:val="28"/>
          <w:lang w:val="uk-UA"/>
        </w:rPr>
        <w:t>– Режим доступу: &lt;http://www.pfts.com/files/file/files/year_reports/PFTS-2007_Ukr.pdf&gt;</w:t>
      </w:r>
    </w:p>
    <w:p w:rsidR="00BD1886" w:rsidRPr="007E0AC1" w:rsidRDefault="00BD1886" w:rsidP="00A817A8">
      <w:pPr>
        <w:numPr>
          <w:ilvl w:val="0"/>
          <w:numId w:val="11"/>
        </w:numPr>
        <w:tabs>
          <w:tab w:val="num" w:pos="0"/>
          <w:tab w:val="left" w:pos="1080"/>
        </w:tabs>
        <w:autoSpaceDE w:val="0"/>
        <w:autoSpaceDN w:val="0"/>
        <w:adjustRightInd w:val="0"/>
        <w:ind w:left="0" w:firstLine="720"/>
        <w:jc w:val="both"/>
        <w:rPr>
          <w:spacing w:val="0"/>
          <w:sz w:val="28"/>
          <w:szCs w:val="28"/>
          <w:lang w:val="uk-UA"/>
        </w:rPr>
      </w:pPr>
      <w:r w:rsidRPr="007E0AC1">
        <w:rPr>
          <w:bCs/>
          <w:spacing w:val="0"/>
          <w:sz w:val="28"/>
          <w:szCs w:val="28"/>
          <w:lang w:val="uk-UA"/>
        </w:rPr>
        <w:t xml:space="preserve">Правила розрахунку індексу ПФТС: затверджено рішенням </w:t>
      </w:r>
      <w:r w:rsidRPr="007E0AC1">
        <w:rPr>
          <w:spacing w:val="0"/>
          <w:sz w:val="28"/>
          <w:szCs w:val="28"/>
          <w:lang w:val="uk-UA"/>
        </w:rPr>
        <w:t xml:space="preserve">Ради ПФТС від 10.10.08 р. </w:t>
      </w:r>
      <w:r w:rsidR="00A817A8" w:rsidRPr="007E0AC1">
        <w:rPr>
          <w:spacing w:val="0"/>
          <w:sz w:val="28"/>
          <w:szCs w:val="28"/>
          <w:lang w:val="uk-UA"/>
        </w:rPr>
        <w:t>[Електронний ресурс] – Режим доступу: &lt;</w:t>
      </w:r>
      <w:r w:rsidRPr="007E0AC1">
        <w:rPr>
          <w:rStyle w:val="HTML"/>
          <w:color w:val="auto"/>
          <w:spacing w:val="0"/>
          <w:sz w:val="28"/>
          <w:szCs w:val="28"/>
          <w:lang w:val="uk-UA"/>
        </w:rPr>
        <w:t>www.pfts.com/uk/indexes/?get_file=159</w:t>
      </w:r>
      <w:r w:rsidR="00A817A8" w:rsidRPr="007E0AC1">
        <w:rPr>
          <w:rStyle w:val="HTML"/>
          <w:color w:val="auto"/>
          <w:spacing w:val="0"/>
          <w:sz w:val="28"/>
          <w:szCs w:val="28"/>
          <w:lang w:val="uk-UA"/>
        </w:rPr>
        <w:t>&gt;</w:t>
      </w:r>
    </w:p>
    <w:p w:rsidR="00BD1886" w:rsidRPr="007E0AC1" w:rsidRDefault="00BD1886" w:rsidP="00343513">
      <w:pPr>
        <w:numPr>
          <w:ilvl w:val="0"/>
          <w:numId w:val="11"/>
        </w:numPr>
        <w:tabs>
          <w:tab w:val="num" w:pos="0"/>
          <w:tab w:val="left" w:pos="1080"/>
        </w:tabs>
        <w:ind w:left="0" w:firstLine="720"/>
        <w:jc w:val="both"/>
        <w:rPr>
          <w:spacing w:val="0"/>
          <w:sz w:val="28"/>
          <w:szCs w:val="28"/>
          <w:lang w:val="uk-UA"/>
        </w:rPr>
      </w:pPr>
      <w:r w:rsidRPr="007E0AC1">
        <w:rPr>
          <w:bCs/>
          <w:spacing w:val="0"/>
          <w:sz w:val="28"/>
          <w:szCs w:val="28"/>
          <w:lang w:val="uk-UA"/>
        </w:rPr>
        <w:t>Макроекономічні показники [Электронный ресурс]</w:t>
      </w:r>
      <w:r w:rsidR="00343513" w:rsidRPr="007E0AC1">
        <w:rPr>
          <w:bCs/>
          <w:spacing w:val="0"/>
          <w:sz w:val="28"/>
          <w:szCs w:val="28"/>
          <w:lang w:val="uk-UA"/>
        </w:rPr>
        <w:t xml:space="preserve"> // </w:t>
      </w:r>
      <w:r w:rsidR="00C279A8" w:rsidRPr="007E0AC1">
        <w:rPr>
          <w:bCs/>
          <w:spacing w:val="0"/>
          <w:sz w:val="28"/>
          <w:szCs w:val="28"/>
          <w:lang w:val="uk-UA"/>
        </w:rPr>
        <w:t>Статистика</w:t>
      </w:r>
      <w:r w:rsidR="00343513" w:rsidRPr="007E0AC1">
        <w:rPr>
          <w:bCs/>
          <w:spacing w:val="0"/>
          <w:sz w:val="28"/>
          <w:szCs w:val="28"/>
          <w:lang w:val="uk-UA"/>
        </w:rPr>
        <w:t xml:space="preserve"> НБУ</w:t>
      </w:r>
      <w:r w:rsidRPr="007E0AC1">
        <w:rPr>
          <w:bCs/>
          <w:spacing w:val="0"/>
          <w:sz w:val="28"/>
          <w:szCs w:val="28"/>
          <w:lang w:val="uk-UA"/>
        </w:rPr>
        <w:t xml:space="preserve">. – Режим </w:t>
      </w:r>
      <w:r w:rsidR="00C279A8" w:rsidRPr="007E0AC1">
        <w:rPr>
          <w:bCs/>
          <w:spacing w:val="0"/>
          <w:sz w:val="28"/>
          <w:szCs w:val="28"/>
          <w:lang w:val="uk-UA"/>
        </w:rPr>
        <w:t>доступу</w:t>
      </w:r>
      <w:r w:rsidRPr="007E0AC1">
        <w:rPr>
          <w:bCs/>
          <w:spacing w:val="0"/>
          <w:sz w:val="28"/>
          <w:szCs w:val="28"/>
          <w:lang w:val="uk-UA"/>
        </w:rPr>
        <w:t>: &lt;</w:t>
      </w:r>
      <w:hyperlink r:id="rId14" w:history="1">
        <w:r w:rsidRPr="007E0AC1">
          <w:rPr>
            <w:rStyle w:val="a4"/>
            <w:color w:val="auto"/>
            <w:spacing w:val="0"/>
            <w:sz w:val="28"/>
            <w:szCs w:val="28"/>
            <w:u w:val="none"/>
            <w:lang w:val="uk-UA"/>
          </w:rPr>
          <w:t>http://www.bank.gov.ua/Statist/Macro.htm</w:t>
        </w:r>
      </w:hyperlink>
      <w:r w:rsidR="00A817A8" w:rsidRPr="007E0AC1">
        <w:rPr>
          <w:spacing w:val="0"/>
          <w:sz w:val="28"/>
          <w:szCs w:val="28"/>
          <w:lang w:val="uk-UA"/>
        </w:rPr>
        <w:t>&gt;</w:t>
      </w:r>
    </w:p>
    <w:sectPr w:rsidR="00BD1886" w:rsidRPr="007E0AC1" w:rsidSect="000878A0">
      <w:headerReference w:type="default" r:id="rId15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43E2" w:rsidRDefault="004843E2">
      <w:r>
        <w:separator/>
      </w:r>
    </w:p>
  </w:endnote>
  <w:endnote w:type="continuationSeparator" w:id="1">
    <w:p w:rsidR="004843E2" w:rsidRDefault="004843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43E2" w:rsidRDefault="004843E2">
      <w:r>
        <w:separator/>
      </w:r>
    </w:p>
  </w:footnote>
  <w:footnote w:type="continuationSeparator" w:id="1">
    <w:p w:rsidR="004843E2" w:rsidRDefault="004843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5A6D" w:rsidRPr="00E15A6D" w:rsidRDefault="00E15A6D" w:rsidP="00E15A6D">
    <w:pPr>
      <w:pStyle w:val="ab"/>
      <w:jc w:val="both"/>
      <w:rPr>
        <w:sz w:val="20"/>
        <w:szCs w:val="20"/>
      </w:rPr>
    </w:pPr>
    <w:r w:rsidRPr="00E15A6D">
      <w:rPr>
        <w:iCs/>
        <w:spacing w:val="0"/>
        <w:sz w:val="20"/>
        <w:szCs w:val="20"/>
        <w:lang w:val="uk-UA"/>
      </w:rPr>
      <w:t>Дєєва Н.Е.</w:t>
    </w:r>
    <w:r w:rsidRPr="00E15A6D">
      <w:rPr>
        <w:spacing w:val="0"/>
        <w:sz w:val="20"/>
        <w:szCs w:val="20"/>
        <w:lang w:val="uk-UA"/>
      </w:rPr>
      <w:t xml:space="preserve"> Проблеми становлення національної моделі корпоративного управління / Н.Е. </w:t>
    </w:r>
    <w:r w:rsidRPr="00E15A6D">
      <w:rPr>
        <w:iCs/>
        <w:spacing w:val="0"/>
        <w:sz w:val="20"/>
        <w:szCs w:val="20"/>
        <w:lang w:val="uk-UA"/>
      </w:rPr>
      <w:t>Дєєва</w:t>
    </w:r>
    <w:r w:rsidRPr="00E15A6D">
      <w:rPr>
        <w:spacing w:val="0"/>
        <w:sz w:val="20"/>
        <w:szCs w:val="20"/>
        <w:lang w:val="uk-UA"/>
      </w:rPr>
      <w:t xml:space="preserve"> // Вісник економічної науки України. – 2008. – № 2 (14). –  С.38-42</w:t>
    </w:r>
  </w:p>
  <w:p w:rsidR="00E15A6D" w:rsidRDefault="00E15A6D" w:rsidP="00E15A6D">
    <w:pPr>
      <w:pStyle w:val="ab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F1EC7"/>
    <w:multiLevelType w:val="hybridMultilevel"/>
    <w:tmpl w:val="067C292A"/>
    <w:lvl w:ilvl="0" w:tplc="A4387B7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6E90044"/>
    <w:multiLevelType w:val="multilevel"/>
    <w:tmpl w:val="83026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1815505"/>
    <w:multiLevelType w:val="multilevel"/>
    <w:tmpl w:val="CEDA4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BA739B"/>
    <w:multiLevelType w:val="multilevel"/>
    <w:tmpl w:val="B1C69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CAB1FE1"/>
    <w:multiLevelType w:val="multilevel"/>
    <w:tmpl w:val="87E04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08C6ED8"/>
    <w:multiLevelType w:val="multilevel"/>
    <w:tmpl w:val="E66444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6791915"/>
    <w:multiLevelType w:val="multilevel"/>
    <w:tmpl w:val="E66444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3BC6B97"/>
    <w:multiLevelType w:val="multilevel"/>
    <w:tmpl w:val="B596B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7B72C00"/>
    <w:multiLevelType w:val="hybridMultilevel"/>
    <w:tmpl w:val="65EEE3A6"/>
    <w:lvl w:ilvl="0" w:tplc="768AF8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895705C"/>
    <w:multiLevelType w:val="hybridMultilevel"/>
    <w:tmpl w:val="8302640A"/>
    <w:lvl w:ilvl="0" w:tplc="72ACBE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4844CD7"/>
    <w:multiLevelType w:val="multilevel"/>
    <w:tmpl w:val="25662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10"/>
  </w:num>
  <w:num w:numId="5">
    <w:abstractNumId w:val="5"/>
  </w:num>
  <w:num w:numId="6">
    <w:abstractNumId w:val="9"/>
  </w:num>
  <w:num w:numId="7">
    <w:abstractNumId w:val="1"/>
  </w:num>
  <w:num w:numId="8">
    <w:abstractNumId w:val="8"/>
  </w:num>
  <w:num w:numId="9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0">
    <w:abstractNumId w:val="4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83956"/>
    <w:rsid w:val="000017E0"/>
    <w:rsid w:val="000017E8"/>
    <w:rsid w:val="0000323E"/>
    <w:rsid w:val="00003921"/>
    <w:rsid w:val="00003CB8"/>
    <w:rsid w:val="00003EF6"/>
    <w:rsid w:val="00004667"/>
    <w:rsid w:val="00004710"/>
    <w:rsid w:val="00006100"/>
    <w:rsid w:val="00006172"/>
    <w:rsid w:val="000061F8"/>
    <w:rsid w:val="000073CD"/>
    <w:rsid w:val="000075A1"/>
    <w:rsid w:val="000105DF"/>
    <w:rsid w:val="00011400"/>
    <w:rsid w:val="00011932"/>
    <w:rsid w:val="00011D65"/>
    <w:rsid w:val="000128A2"/>
    <w:rsid w:val="0001419E"/>
    <w:rsid w:val="000145A1"/>
    <w:rsid w:val="000163E4"/>
    <w:rsid w:val="0001692E"/>
    <w:rsid w:val="00016E3B"/>
    <w:rsid w:val="00017419"/>
    <w:rsid w:val="00020EBC"/>
    <w:rsid w:val="00020FC0"/>
    <w:rsid w:val="000212FC"/>
    <w:rsid w:val="000215D9"/>
    <w:rsid w:val="000237CC"/>
    <w:rsid w:val="00023D34"/>
    <w:rsid w:val="00023D6A"/>
    <w:rsid w:val="00024095"/>
    <w:rsid w:val="000242BE"/>
    <w:rsid w:val="00024E07"/>
    <w:rsid w:val="0002520A"/>
    <w:rsid w:val="0002582D"/>
    <w:rsid w:val="0002622E"/>
    <w:rsid w:val="000270D3"/>
    <w:rsid w:val="00027F73"/>
    <w:rsid w:val="00030F79"/>
    <w:rsid w:val="0003169D"/>
    <w:rsid w:val="00033754"/>
    <w:rsid w:val="0003404D"/>
    <w:rsid w:val="00034522"/>
    <w:rsid w:val="00034A5C"/>
    <w:rsid w:val="00034F8F"/>
    <w:rsid w:val="000418C7"/>
    <w:rsid w:val="00041D5E"/>
    <w:rsid w:val="0004482A"/>
    <w:rsid w:val="00044877"/>
    <w:rsid w:val="000449D2"/>
    <w:rsid w:val="00044A6B"/>
    <w:rsid w:val="000458C2"/>
    <w:rsid w:val="00045E35"/>
    <w:rsid w:val="000476C4"/>
    <w:rsid w:val="00050CB2"/>
    <w:rsid w:val="00052314"/>
    <w:rsid w:val="00052336"/>
    <w:rsid w:val="000526EF"/>
    <w:rsid w:val="0005311B"/>
    <w:rsid w:val="00053933"/>
    <w:rsid w:val="00054135"/>
    <w:rsid w:val="0005533D"/>
    <w:rsid w:val="00055904"/>
    <w:rsid w:val="00055B51"/>
    <w:rsid w:val="00056E4B"/>
    <w:rsid w:val="00056EA1"/>
    <w:rsid w:val="00057388"/>
    <w:rsid w:val="00060391"/>
    <w:rsid w:val="000608C1"/>
    <w:rsid w:val="00060913"/>
    <w:rsid w:val="00060CCE"/>
    <w:rsid w:val="00060DB5"/>
    <w:rsid w:val="000610D1"/>
    <w:rsid w:val="0006121B"/>
    <w:rsid w:val="000620E2"/>
    <w:rsid w:val="00062538"/>
    <w:rsid w:val="00062860"/>
    <w:rsid w:val="00062B90"/>
    <w:rsid w:val="0006362E"/>
    <w:rsid w:val="00063C5B"/>
    <w:rsid w:val="00064613"/>
    <w:rsid w:val="00065254"/>
    <w:rsid w:val="00065570"/>
    <w:rsid w:val="000656DC"/>
    <w:rsid w:val="00065BE6"/>
    <w:rsid w:val="00065D12"/>
    <w:rsid w:val="00066491"/>
    <w:rsid w:val="000675B6"/>
    <w:rsid w:val="0006791B"/>
    <w:rsid w:val="000703B6"/>
    <w:rsid w:val="000706D0"/>
    <w:rsid w:val="00071696"/>
    <w:rsid w:val="00073206"/>
    <w:rsid w:val="000734CE"/>
    <w:rsid w:val="00073645"/>
    <w:rsid w:val="0007439F"/>
    <w:rsid w:val="00074D55"/>
    <w:rsid w:val="00074F54"/>
    <w:rsid w:val="000762FB"/>
    <w:rsid w:val="00076591"/>
    <w:rsid w:val="00076959"/>
    <w:rsid w:val="00077730"/>
    <w:rsid w:val="000813AE"/>
    <w:rsid w:val="00081532"/>
    <w:rsid w:val="00081E4F"/>
    <w:rsid w:val="00081E70"/>
    <w:rsid w:val="00082E67"/>
    <w:rsid w:val="000845B4"/>
    <w:rsid w:val="00084B19"/>
    <w:rsid w:val="00084C46"/>
    <w:rsid w:val="000856D5"/>
    <w:rsid w:val="000859E2"/>
    <w:rsid w:val="00085A31"/>
    <w:rsid w:val="00086E4E"/>
    <w:rsid w:val="000878A0"/>
    <w:rsid w:val="00087D05"/>
    <w:rsid w:val="000901B1"/>
    <w:rsid w:val="00090347"/>
    <w:rsid w:val="00090FD7"/>
    <w:rsid w:val="00091180"/>
    <w:rsid w:val="000912A3"/>
    <w:rsid w:val="0009209A"/>
    <w:rsid w:val="0009235C"/>
    <w:rsid w:val="0009246E"/>
    <w:rsid w:val="0009269F"/>
    <w:rsid w:val="000927AA"/>
    <w:rsid w:val="000936D6"/>
    <w:rsid w:val="000947EC"/>
    <w:rsid w:val="00094E41"/>
    <w:rsid w:val="00094E80"/>
    <w:rsid w:val="000970F6"/>
    <w:rsid w:val="0009749F"/>
    <w:rsid w:val="00097FF7"/>
    <w:rsid w:val="000A192D"/>
    <w:rsid w:val="000A1B43"/>
    <w:rsid w:val="000A1C46"/>
    <w:rsid w:val="000A27DB"/>
    <w:rsid w:val="000A28AE"/>
    <w:rsid w:val="000A3C9C"/>
    <w:rsid w:val="000A3EED"/>
    <w:rsid w:val="000A45ED"/>
    <w:rsid w:val="000A48C8"/>
    <w:rsid w:val="000A4A9D"/>
    <w:rsid w:val="000A5B18"/>
    <w:rsid w:val="000A6646"/>
    <w:rsid w:val="000A6BF0"/>
    <w:rsid w:val="000A7824"/>
    <w:rsid w:val="000A7BC1"/>
    <w:rsid w:val="000B0FD0"/>
    <w:rsid w:val="000B1352"/>
    <w:rsid w:val="000B1BE4"/>
    <w:rsid w:val="000B3386"/>
    <w:rsid w:val="000B3D46"/>
    <w:rsid w:val="000B3F4A"/>
    <w:rsid w:val="000B6506"/>
    <w:rsid w:val="000B67DE"/>
    <w:rsid w:val="000B6E82"/>
    <w:rsid w:val="000C052B"/>
    <w:rsid w:val="000C0784"/>
    <w:rsid w:val="000C0937"/>
    <w:rsid w:val="000C11E3"/>
    <w:rsid w:val="000C1753"/>
    <w:rsid w:val="000C1973"/>
    <w:rsid w:val="000C1BBD"/>
    <w:rsid w:val="000C21EE"/>
    <w:rsid w:val="000C27A7"/>
    <w:rsid w:val="000C3D0B"/>
    <w:rsid w:val="000C4032"/>
    <w:rsid w:val="000C4B52"/>
    <w:rsid w:val="000C5142"/>
    <w:rsid w:val="000C54E0"/>
    <w:rsid w:val="000C6939"/>
    <w:rsid w:val="000C73C1"/>
    <w:rsid w:val="000C762F"/>
    <w:rsid w:val="000C7A06"/>
    <w:rsid w:val="000D0440"/>
    <w:rsid w:val="000D0447"/>
    <w:rsid w:val="000D09B1"/>
    <w:rsid w:val="000D105E"/>
    <w:rsid w:val="000D107C"/>
    <w:rsid w:val="000D1F60"/>
    <w:rsid w:val="000D243C"/>
    <w:rsid w:val="000D2DCD"/>
    <w:rsid w:val="000D32C1"/>
    <w:rsid w:val="000D3533"/>
    <w:rsid w:val="000D3546"/>
    <w:rsid w:val="000D3577"/>
    <w:rsid w:val="000D3A62"/>
    <w:rsid w:val="000D492D"/>
    <w:rsid w:val="000D4963"/>
    <w:rsid w:val="000D4AA3"/>
    <w:rsid w:val="000D667D"/>
    <w:rsid w:val="000D78D7"/>
    <w:rsid w:val="000E0439"/>
    <w:rsid w:val="000E0A6B"/>
    <w:rsid w:val="000E0EE8"/>
    <w:rsid w:val="000E211C"/>
    <w:rsid w:val="000E4024"/>
    <w:rsid w:val="000E41E4"/>
    <w:rsid w:val="000E42BD"/>
    <w:rsid w:val="000E469A"/>
    <w:rsid w:val="000E493B"/>
    <w:rsid w:val="000E4C98"/>
    <w:rsid w:val="000E4D6B"/>
    <w:rsid w:val="000E59B1"/>
    <w:rsid w:val="000E5C01"/>
    <w:rsid w:val="000E5FF8"/>
    <w:rsid w:val="000E62A8"/>
    <w:rsid w:val="000E6F23"/>
    <w:rsid w:val="000E7C8F"/>
    <w:rsid w:val="000F09E2"/>
    <w:rsid w:val="000F1B6F"/>
    <w:rsid w:val="000F26E3"/>
    <w:rsid w:val="000F2C67"/>
    <w:rsid w:val="000F39DE"/>
    <w:rsid w:val="000F3D78"/>
    <w:rsid w:val="000F41E6"/>
    <w:rsid w:val="000F5153"/>
    <w:rsid w:val="000F6A28"/>
    <w:rsid w:val="000F6CE1"/>
    <w:rsid w:val="000F79C5"/>
    <w:rsid w:val="000F7D85"/>
    <w:rsid w:val="0010095C"/>
    <w:rsid w:val="001013F7"/>
    <w:rsid w:val="00102F31"/>
    <w:rsid w:val="00103DD8"/>
    <w:rsid w:val="00104578"/>
    <w:rsid w:val="00104658"/>
    <w:rsid w:val="00104BB4"/>
    <w:rsid w:val="0010505F"/>
    <w:rsid w:val="001059B7"/>
    <w:rsid w:val="0010625C"/>
    <w:rsid w:val="00107103"/>
    <w:rsid w:val="0010775C"/>
    <w:rsid w:val="00110D39"/>
    <w:rsid w:val="0011137A"/>
    <w:rsid w:val="001114F9"/>
    <w:rsid w:val="001116BB"/>
    <w:rsid w:val="00112481"/>
    <w:rsid w:val="00112CB1"/>
    <w:rsid w:val="0011572B"/>
    <w:rsid w:val="00115B7F"/>
    <w:rsid w:val="00115D55"/>
    <w:rsid w:val="001164A7"/>
    <w:rsid w:val="00116640"/>
    <w:rsid w:val="00117098"/>
    <w:rsid w:val="0011740E"/>
    <w:rsid w:val="00117EB1"/>
    <w:rsid w:val="001201E1"/>
    <w:rsid w:val="00120902"/>
    <w:rsid w:val="001214C7"/>
    <w:rsid w:val="0012173C"/>
    <w:rsid w:val="001217E8"/>
    <w:rsid w:val="00122CA7"/>
    <w:rsid w:val="00122D2C"/>
    <w:rsid w:val="0012369A"/>
    <w:rsid w:val="00123DEF"/>
    <w:rsid w:val="0012496D"/>
    <w:rsid w:val="00125494"/>
    <w:rsid w:val="001258EE"/>
    <w:rsid w:val="00125B1E"/>
    <w:rsid w:val="00125B88"/>
    <w:rsid w:val="001265AA"/>
    <w:rsid w:val="001265D1"/>
    <w:rsid w:val="00127564"/>
    <w:rsid w:val="00127CE7"/>
    <w:rsid w:val="001301BC"/>
    <w:rsid w:val="0013077D"/>
    <w:rsid w:val="00130B8D"/>
    <w:rsid w:val="0013172A"/>
    <w:rsid w:val="00132AFF"/>
    <w:rsid w:val="00135540"/>
    <w:rsid w:val="00137680"/>
    <w:rsid w:val="00137D6E"/>
    <w:rsid w:val="0014021D"/>
    <w:rsid w:val="00142E8C"/>
    <w:rsid w:val="00143184"/>
    <w:rsid w:val="0014374B"/>
    <w:rsid w:val="00144C16"/>
    <w:rsid w:val="00144EB7"/>
    <w:rsid w:val="00145758"/>
    <w:rsid w:val="0014696E"/>
    <w:rsid w:val="00146AA1"/>
    <w:rsid w:val="00146B36"/>
    <w:rsid w:val="00146D07"/>
    <w:rsid w:val="00147A17"/>
    <w:rsid w:val="00150249"/>
    <w:rsid w:val="00152FC3"/>
    <w:rsid w:val="001537CF"/>
    <w:rsid w:val="00153CE0"/>
    <w:rsid w:val="00154A4B"/>
    <w:rsid w:val="00154D96"/>
    <w:rsid w:val="00155846"/>
    <w:rsid w:val="001559D6"/>
    <w:rsid w:val="00155E12"/>
    <w:rsid w:val="001565F6"/>
    <w:rsid w:val="00156B8E"/>
    <w:rsid w:val="00156D56"/>
    <w:rsid w:val="00157C62"/>
    <w:rsid w:val="001603AF"/>
    <w:rsid w:val="00163CDD"/>
    <w:rsid w:val="00164707"/>
    <w:rsid w:val="00164B92"/>
    <w:rsid w:val="00164D7D"/>
    <w:rsid w:val="0016574A"/>
    <w:rsid w:val="00165F60"/>
    <w:rsid w:val="00166C74"/>
    <w:rsid w:val="00166CEE"/>
    <w:rsid w:val="001672B3"/>
    <w:rsid w:val="00167D49"/>
    <w:rsid w:val="00170573"/>
    <w:rsid w:val="001712DA"/>
    <w:rsid w:val="00172EB8"/>
    <w:rsid w:val="0017303C"/>
    <w:rsid w:val="001732AC"/>
    <w:rsid w:val="00173AF5"/>
    <w:rsid w:val="00173DB7"/>
    <w:rsid w:val="00175211"/>
    <w:rsid w:val="001753F2"/>
    <w:rsid w:val="001756C8"/>
    <w:rsid w:val="00175941"/>
    <w:rsid w:val="001759B7"/>
    <w:rsid w:val="00175AFE"/>
    <w:rsid w:val="00176C8D"/>
    <w:rsid w:val="00176E3C"/>
    <w:rsid w:val="00177BC0"/>
    <w:rsid w:val="00180052"/>
    <w:rsid w:val="00180211"/>
    <w:rsid w:val="001820A5"/>
    <w:rsid w:val="00182671"/>
    <w:rsid w:val="001828AF"/>
    <w:rsid w:val="00182AD4"/>
    <w:rsid w:val="00186E01"/>
    <w:rsid w:val="00187494"/>
    <w:rsid w:val="00190C69"/>
    <w:rsid w:val="00190E7B"/>
    <w:rsid w:val="0019126B"/>
    <w:rsid w:val="00191310"/>
    <w:rsid w:val="00192547"/>
    <w:rsid w:val="001944B5"/>
    <w:rsid w:val="001964AD"/>
    <w:rsid w:val="00197E09"/>
    <w:rsid w:val="001A024F"/>
    <w:rsid w:val="001A26D2"/>
    <w:rsid w:val="001A294E"/>
    <w:rsid w:val="001A308A"/>
    <w:rsid w:val="001A326D"/>
    <w:rsid w:val="001A34AE"/>
    <w:rsid w:val="001A3F44"/>
    <w:rsid w:val="001A4028"/>
    <w:rsid w:val="001A5BC4"/>
    <w:rsid w:val="001A62E9"/>
    <w:rsid w:val="001A71D6"/>
    <w:rsid w:val="001A76F9"/>
    <w:rsid w:val="001B0110"/>
    <w:rsid w:val="001B1ECA"/>
    <w:rsid w:val="001B3186"/>
    <w:rsid w:val="001B31F0"/>
    <w:rsid w:val="001B3D84"/>
    <w:rsid w:val="001B6A1B"/>
    <w:rsid w:val="001B7BFB"/>
    <w:rsid w:val="001C1081"/>
    <w:rsid w:val="001C14F1"/>
    <w:rsid w:val="001C2F6A"/>
    <w:rsid w:val="001C4D57"/>
    <w:rsid w:val="001C4EFD"/>
    <w:rsid w:val="001C5ABA"/>
    <w:rsid w:val="001C5E7D"/>
    <w:rsid w:val="001C6C2C"/>
    <w:rsid w:val="001C7C2D"/>
    <w:rsid w:val="001C7D05"/>
    <w:rsid w:val="001D081A"/>
    <w:rsid w:val="001D0D76"/>
    <w:rsid w:val="001D1EAB"/>
    <w:rsid w:val="001D2909"/>
    <w:rsid w:val="001D3E53"/>
    <w:rsid w:val="001D47B8"/>
    <w:rsid w:val="001D4847"/>
    <w:rsid w:val="001D4C22"/>
    <w:rsid w:val="001D4F70"/>
    <w:rsid w:val="001D5C2A"/>
    <w:rsid w:val="001D5D80"/>
    <w:rsid w:val="001D602D"/>
    <w:rsid w:val="001D6C54"/>
    <w:rsid w:val="001D6D1F"/>
    <w:rsid w:val="001D7232"/>
    <w:rsid w:val="001E0078"/>
    <w:rsid w:val="001E007F"/>
    <w:rsid w:val="001E0368"/>
    <w:rsid w:val="001E0964"/>
    <w:rsid w:val="001E0D3C"/>
    <w:rsid w:val="001E1737"/>
    <w:rsid w:val="001E1FFB"/>
    <w:rsid w:val="001E2269"/>
    <w:rsid w:val="001E23F6"/>
    <w:rsid w:val="001E2877"/>
    <w:rsid w:val="001E2A7E"/>
    <w:rsid w:val="001E2B6E"/>
    <w:rsid w:val="001E3516"/>
    <w:rsid w:val="001E4992"/>
    <w:rsid w:val="001E5DAB"/>
    <w:rsid w:val="001E6C64"/>
    <w:rsid w:val="001E6D10"/>
    <w:rsid w:val="001F06CE"/>
    <w:rsid w:val="001F0A5D"/>
    <w:rsid w:val="001F0B3F"/>
    <w:rsid w:val="001F0C5A"/>
    <w:rsid w:val="001F28DB"/>
    <w:rsid w:val="001F2C17"/>
    <w:rsid w:val="001F2CBC"/>
    <w:rsid w:val="001F2D20"/>
    <w:rsid w:val="001F42C6"/>
    <w:rsid w:val="001F5125"/>
    <w:rsid w:val="001F6CEF"/>
    <w:rsid w:val="001F7610"/>
    <w:rsid w:val="001F7A8E"/>
    <w:rsid w:val="00200408"/>
    <w:rsid w:val="002005CF"/>
    <w:rsid w:val="00202334"/>
    <w:rsid w:val="00205188"/>
    <w:rsid w:val="00205E3B"/>
    <w:rsid w:val="00206B66"/>
    <w:rsid w:val="002072F0"/>
    <w:rsid w:val="00207351"/>
    <w:rsid w:val="0020736E"/>
    <w:rsid w:val="002076C6"/>
    <w:rsid w:val="00207AA9"/>
    <w:rsid w:val="00207EA5"/>
    <w:rsid w:val="00210D2D"/>
    <w:rsid w:val="00211250"/>
    <w:rsid w:val="00213891"/>
    <w:rsid w:val="00214E0D"/>
    <w:rsid w:val="002150DF"/>
    <w:rsid w:val="002157ED"/>
    <w:rsid w:val="0021590D"/>
    <w:rsid w:val="00215C6C"/>
    <w:rsid w:val="0021658C"/>
    <w:rsid w:val="00216AE1"/>
    <w:rsid w:val="00216F94"/>
    <w:rsid w:val="00217249"/>
    <w:rsid w:val="002175A5"/>
    <w:rsid w:val="00217A03"/>
    <w:rsid w:val="00220D86"/>
    <w:rsid w:val="002239B0"/>
    <w:rsid w:val="00223A02"/>
    <w:rsid w:val="00223E34"/>
    <w:rsid w:val="002242EF"/>
    <w:rsid w:val="00224BB6"/>
    <w:rsid w:val="00226EB8"/>
    <w:rsid w:val="002277B9"/>
    <w:rsid w:val="002308D7"/>
    <w:rsid w:val="002326E5"/>
    <w:rsid w:val="00233357"/>
    <w:rsid w:val="00233658"/>
    <w:rsid w:val="00234236"/>
    <w:rsid w:val="00235089"/>
    <w:rsid w:val="00235975"/>
    <w:rsid w:val="00235AFE"/>
    <w:rsid w:val="00236B79"/>
    <w:rsid w:val="00237CFF"/>
    <w:rsid w:val="0024117A"/>
    <w:rsid w:val="0024131F"/>
    <w:rsid w:val="00241670"/>
    <w:rsid w:val="00241EDF"/>
    <w:rsid w:val="002422DF"/>
    <w:rsid w:val="0024256E"/>
    <w:rsid w:val="0024286E"/>
    <w:rsid w:val="00242DAF"/>
    <w:rsid w:val="00242E74"/>
    <w:rsid w:val="0024533F"/>
    <w:rsid w:val="00245467"/>
    <w:rsid w:val="00245BEB"/>
    <w:rsid w:val="002471F6"/>
    <w:rsid w:val="00247596"/>
    <w:rsid w:val="00247707"/>
    <w:rsid w:val="00247D76"/>
    <w:rsid w:val="00250267"/>
    <w:rsid w:val="002519CE"/>
    <w:rsid w:val="00251BE4"/>
    <w:rsid w:val="002543D9"/>
    <w:rsid w:val="00254629"/>
    <w:rsid w:val="00256056"/>
    <w:rsid w:val="0025619D"/>
    <w:rsid w:val="00256A17"/>
    <w:rsid w:val="00256C4B"/>
    <w:rsid w:val="00257F2B"/>
    <w:rsid w:val="002609A9"/>
    <w:rsid w:val="00260B75"/>
    <w:rsid w:val="00260BD7"/>
    <w:rsid w:val="00261DB1"/>
    <w:rsid w:val="002621F0"/>
    <w:rsid w:val="00263325"/>
    <w:rsid w:val="002634FD"/>
    <w:rsid w:val="00264047"/>
    <w:rsid w:val="00265369"/>
    <w:rsid w:val="00265931"/>
    <w:rsid w:val="002660E4"/>
    <w:rsid w:val="00267882"/>
    <w:rsid w:val="00270B84"/>
    <w:rsid w:val="002717FE"/>
    <w:rsid w:val="00271C67"/>
    <w:rsid w:val="00272A57"/>
    <w:rsid w:val="00272EDC"/>
    <w:rsid w:val="00273071"/>
    <w:rsid w:val="00273AA8"/>
    <w:rsid w:val="00273CD1"/>
    <w:rsid w:val="00273D6A"/>
    <w:rsid w:val="00273DE1"/>
    <w:rsid w:val="00274F42"/>
    <w:rsid w:val="0027517E"/>
    <w:rsid w:val="002752D8"/>
    <w:rsid w:val="002754F3"/>
    <w:rsid w:val="0027610D"/>
    <w:rsid w:val="002762D8"/>
    <w:rsid w:val="00276F9D"/>
    <w:rsid w:val="002779C7"/>
    <w:rsid w:val="002806E7"/>
    <w:rsid w:val="00280C24"/>
    <w:rsid w:val="0028114D"/>
    <w:rsid w:val="002818F6"/>
    <w:rsid w:val="00282095"/>
    <w:rsid w:val="00282394"/>
    <w:rsid w:val="002823AD"/>
    <w:rsid w:val="00282A77"/>
    <w:rsid w:val="00282DCC"/>
    <w:rsid w:val="002835D1"/>
    <w:rsid w:val="002848A6"/>
    <w:rsid w:val="00286734"/>
    <w:rsid w:val="002867DF"/>
    <w:rsid w:val="00286886"/>
    <w:rsid w:val="002876F4"/>
    <w:rsid w:val="00287A6E"/>
    <w:rsid w:val="00287BBE"/>
    <w:rsid w:val="00287DEF"/>
    <w:rsid w:val="00287F25"/>
    <w:rsid w:val="0029162A"/>
    <w:rsid w:val="002918F2"/>
    <w:rsid w:val="00292E46"/>
    <w:rsid w:val="0029499C"/>
    <w:rsid w:val="002950CB"/>
    <w:rsid w:val="00295815"/>
    <w:rsid w:val="00296AB7"/>
    <w:rsid w:val="00296FA6"/>
    <w:rsid w:val="002A0079"/>
    <w:rsid w:val="002A098F"/>
    <w:rsid w:val="002A0A90"/>
    <w:rsid w:val="002A137E"/>
    <w:rsid w:val="002A1427"/>
    <w:rsid w:val="002A1BCB"/>
    <w:rsid w:val="002A2959"/>
    <w:rsid w:val="002A2E09"/>
    <w:rsid w:val="002A3155"/>
    <w:rsid w:val="002A36F7"/>
    <w:rsid w:val="002A3CF3"/>
    <w:rsid w:val="002A4D04"/>
    <w:rsid w:val="002A4FED"/>
    <w:rsid w:val="002A599B"/>
    <w:rsid w:val="002A62BB"/>
    <w:rsid w:val="002A70E9"/>
    <w:rsid w:val="002A777E"/>
    <w:rsid w:val="002A7DE3"/>
    <w:rsid w:val="002B00AD"/>
    <w:rsid w:val="002B0456"/>
    <w:rsid w:val="002B056B"/>
    <w:rsid w:val="002B074E"/>
    <w:rsid w:val="002B0A27"/>
    <w:rsid w:val="002B3371"/>
    <w:rsid w:val="002B362F"/>
    <w:rsid w:val="002B4A14"/>
    <w:rsid w:val="002B51B3"/>
    <w:rsid w:val="002B589F"/>
    <w:rsid w:val="002B6008"/>
    <w:rsid w:val="002B6631"/>
    <w:rsid w:val="002B6D05"/>
    <w:rsid w:val="002B6DA6"/>
    <w:rsid w:val="002B7284"/>
    <w:rsid w:val="002B739E"/>
    <w:rsid w:val="002B7420"/>
    <w:rsid w:val="002B759D"/>
    <w:rsid w:val="002C00C4"/>
    <w:rsid w:val="002C0FE6"/>
    <w:rsid w:val="002C30CB"/>
    <w:rsid w:val="002C37BF"/>
    <w:rsid w:val="002C551F"/>
    <w:rsid w:val="002C6239"/>
    <w:rsid w:val="002C6BB3"/>
    <w:rsid w:val="002C7544"/>
    <w:rsid w:val="002C79AB"/>
    <w:rsid w:val="002D0781"/>
    <w:rsid w:val="002D2B88"/>
    <w:rsid w:val="002D3162"/>
    <w:rsid w:val="002D3823"/>
    <w:rsid w:val="002D51A9"/>
    <w:rsid w:val="002D6892"/>
    <w:rsid w:val="002D699F"/>
    <w:rsid w:val="002D7B8F"/>
    <w:rsid w:val="002E00AC"/>
    <w:rsid w:val="002E0589"/>
    <w:rsid w:val="002E0C6B"/>
    <w:rsid w:val="002E1333"/>
    <w:rsid w:val="002E209F"/>
    <w:rsid w:val="002E26BD"/>
    <w:rsid w:val="002E2AA7"/>
    <w:rsid w:val="002E344A"/>
    <w:rsid w:val="002E38E7"/>
    <w:rsid w:val="002E4E99"/>
    <w:rsid w:val="002E6068"/>
    <w:rsid w:val="002E61C9"/>
    <w:rsid w:val="002E64B6"/>
    <w:rsid w:val="002E77FD"/>
    <w:rsid w:val="002F04B4"/>
    <w:rsid w:val="002F0C35"/>
    <w:rsid w:val="002F3647"/>
    <w:rsid w:val="002F3AFF"/>
    <w:rsid w:val="002F5C11"/>
    <w:rsid w:val="002F7215"/>
    <w:rsid w:val="002F77CC"/>
    <w:rsid w:val="00300B73"/>
    <w:rsid w:val="00300E81"/>
    <w:rsid w:val="003015D5"/>
    <w:rsid w:val="00301BA0"/>
    <w:rsid w:val="00302960"/>
    <w:rsid w:val="0030339B"/>
    <w:rsid w:val="003042AA"/>
    <w:rsid w:val="0031120E"/>
    <w:rsid w:val="003121ED"/>
    <w:rsid w:val="00312415"/>
    <w:rsid w:val="003124D7"/>
    <w:rsid w:val="00312DEC"/>
    <w:rsid w:val="00313DB1"/>
    <w:rsid w:val="0031406A"/>
    <w:rsid w:val="003142E8"/>
    <w:rsid w:val="00314C02"/>
    <w:rsid w:val="00314C76"/>
    <w:rsid w:val="0031591A"/>
    <w:rsid w:val="00316850"/>
    <w:rsid w:val="00316B18"/>
    <w:rsid w:val="00316F9C"/>
    <w:rsid w:val="00317DBC"/>
    <w:rsid w:val="00317DE8"/>
    <w:rsid w:val="003204EA"/>
    <w:rsid w:val="00320C3E"/>
    <w:rsid w:val="003213EF"/>
    <w:rsid w:val="00321916"/>
    <w:rsid w:val="0032617D"/>
    <w:rsid w:val="0032641C"/>
    <w:rsid w:val="00326743"/>
    <w:rsid w:val="0032689D"/>
    <w:rsid w:val="00327489"/>
    <w:rsid w:val="00330887"/>
    <w:rsid w:val="003327B6"/>
    <w:rsid w:val="0033284C"/>
    <w:rsid w:val="00333284"/>
    <w:rsid w:val="00334D5A"/>
    <w:rsid w:val="00335C62"/>
    <w:rsid w:val="00335F30"/>
    <w:rsid w:val="00337A74"/>
    <w:rsid w:val="0034021A"/>
    <w:rsid w:val="003406E2"/>
    <w:rsid w:val="00340779"/>
    <w:rsid w:val="003415AE"/>
    <w:rsid w:val="0034197C"/>
    <w:rsid w:val="00342762"/>
    <w:rsid w:val="003428BC"/>
    <w:rsid w:val="00343513"/>
    <w:rsid w:val="00343D62"/>
    <w:rsid w:val="00343D6F"/>
    <w:rsid w:val="00344E50"/>
    <w:rsid w:val="003450F5"/>
    <w:rsid w:val="003451AB"/>
    <w:rsid w:val="0034546B"/>
    <w:rsid w:val="00346C67"/>
    <w:rsid w:val="00347D16"/>
    <w:rsid w:val="00350234"/>
    <w:rsid w:val="00350617"/>
    <w:rsid w:val="00350E05"/>
    <w:rsid w:val="00351D29"/>
    <w:rsid w:val="003520F3"/>
    <w:rsid w:val="00352ACA"/>
    <w:rsid w:val="00352BC1"/>
    <w:rsid w:val="00352FE5"/>
    <w:rsid w:val="00354337"/>
    <w:rsid w:val="0035435A"/>
    <w:rsid w:val="0035444E"/>
    <w:rsid w:val="00354C51"/>
    <w:rsid w:val="00355250"/>
    <w:rsid w:val="0035665C"/>
    <w:rsid w:val="00356C34"/>
    <w:rsid w:val="003604FF"/>
    <w:rsid w:val="003634BE"/>
    <w:rsid w:val="00363519"/>
    <w:rsid w:val="00363CBB"/>
    <w:rsid w:val="0036413C"/>
    <w:rsid w:val="00364B68"/>
    <w:rsid w:val="00365D3E"/>
    <w:rsid w:val="00365D5F"/>
    <w:rsid w:val="00366789"/>
    <w:rsid w:val="00367AE1"/>
    <w:rsid w:val="00367C67"/>
    <w:rsid w:val="0037026F"/>
    <w:rsid w:val="003709DB"/>
    <w:rsid w:val="003711DA"/>
    <w:rsid w:val="00371412"/>
    <w:rsid w:val="0037253E"/>
    <w:rsid w:val="00372901"/>
    <w:rsid w:val="00374D3E"/>
    <w:rsid w:val="00375737"/>
    <w:rsid w:val="00376326"/>
    <w:rsid w:val="00376979"/>
    <w:rsid w:val="003769CE"/>
    <w:rsid w:val="0037720B"/>
    <w:rsid w:val="00377223"/>
    <w:rsid w:val="0037791D"/>
    <w:rsid w:val="003802A4"/>
    <w:rsid w:val="0038095C"/>
    <w:rsid w:val="00381973"/>
    <w:rsid w:val="003821BB"/>
    <w:rsid w:val="00382453"/>
    <w:rsid w:val="00382C7D"/>
    <w:rsid w:val="00382FDB"/>
    <w:rsid w:val="0038400E"/>
    <w:rsid w:val="003849A4"/>
    <w:rsid w:val="0038531D"/>
    <w:rsid w:val="0038603C"/>
    <w:rsid w:val="00386116"/>
    <w:rsid w:val="00387252"/>
    <w:rsid w:val="00390194"/>
    <w:rsid w:val="00391215"/>
    <w:rsid w:val="00391C1C"/>
    <w:rsid w:val="003927E5"/>
    <w:rsid w:val="00392A96"/>
    <w:rsid w:val="00393311"/>
    <w:rsid w:val="00393A85"/>
    <w:rsid w:val="00393EA2"/>
    <w:rsid w:val="00394218"/>
    <w:rsid w:val="00394766"/>
    <w:rsid w:val="00394C04"/>
    <w:rsid w:val="003952A4"/>
    <w:rsid w:val="00395935"/>
    <w:rsid w:val="00397797"/>
    <w:rsid w:val="0039779C"/>
    <w:rsid w:val="00397C8C"/>
    <w:rsid w:val="003A0A87"/>
    <w:rsid w:val="003A0AE9"/>
    <w:rsid w:val="003A0D15"/>
    <w:rsid w:val="003A160A"/>
    <w:rsid w:val="003A1987"/>
    <w:rsid w:val="003A1CAE"/>
    <w:rsid w:val="003A1DBA"/>
    <w:rsid w:val="003A22DF"/>
    <w:rsid w:val="003A2AC2"/>
    <w:rsid w:val="003A31B1"/>
    <w:rsid w:val="003A32D5"/>
    <w:rsid w:val="003A3909"/>
    <w:rsid w:val="003A40F2"/>
    <w:rsid w:val="003A61B2"/>
    <w:rsid w:val="003A6C15"/>
    <w:rsid w:val="003A6C37"/>
    <w:rsid w:val="003A6E74"/>
    <w:rsid w:val="003A748F"/>
    <w:rsid w:val="003A77B3"/>
    <w:rsid w:val="003A7D44"/>
    <w:rsid w:val="003B021F"/>
    <w:rsid w:val="003B11AA"/>
    <w:rsid w:val="003B1264"/>
    <w:rsid w:val="003B1CB0"/>
    <w:rsid w:val="003B33D0"/>
    <w:rsid w:val="003B3A91"/>
    <w:rsid w:val="003B42FE"/>
    <w:rsid w:val="003B4C22"/>
    <w:rsid w:val="003B4E42"/>
    <w:rsid w:val="003B4E6B"/>
    <w:rsid w:val="003B4E9F"/>
    <w:rsid w:val="003B526B"/>
    <w:rsid w:val="003B5500"/>
    <w:rsid w:val="003B6A66"/>
    <w:rsid w:val="003B7D5D"/>
    <w:rsid w:val="003C082D"/>
    <w:rsid w:val="003C0C1C"/>
    <w:rsid w:val="003C2019"/>
    <w:rsid w:val="003C202B"/>
    <w:rsid w:val="003C59E2"/>
    <w:rsid w:val="003C6073"/>
    <w:rsid w:val="003C6080"/>
    <w:rsid w:val="003C6393"/>
    <w:rsid w:val="003C6442"/>
    <w:rsid w:val="003C64B3"/>
    <w:rsid w:val="003C7219"/>
    <w:rsid w:val="003C789A"/>
    <w:rsid w:val="003D0225"/>
    <w:rsid w:val="003D0AC3"/>
    <w:rsid w:val="003D0CA4"/>
    <w:rsid w:val="003D1855"/>
    <w:rsid w:val="003D24D3"/>
    <w:rsid w:val="003D2631"/>
    <w:rsid w:val="003D27CD"/>
    <w:rsid w:val="003D32FF"/>
    <w:rsid w:val="003D3F65"/>
    <w:rsid w:val="003D4B4A"/>
    <w:rsid w:val="003D5DFC"/>
    <w:rsid w:val="003D70DD"/>
    <w:rsid w:val="003D7F95"/>
    <w:rsid w:val="003E03B0"/>
    <w:rsid w:val="003E10EC"/>
    <w:rsid w:val="003E2122"/>
    <w:rsid w:val="003E3783"/>
    <w:rsid w:val="003E3DC1"/>
    <w:rsid w:val="003E43CC"/>
    <w:rsid w:val="003E4685"/>
    <w:rsid w:val="003E4C9A"/>
    <w:rsid w:val="003E4E0A"/>
    <w:rsid w:val="003E4F02"/>
    <w:rsid w:val="003E4FA3"/>
    <w:rsid w:val="003E520B"/>
    <w:rsid w:val="003E5953"/>
    <w:rsid w:val="003E5B66"/>
    <w:rsid w:val="003E5CE9"/>
    <w:rsid w:val="003E6161"/>
    <w:rsid w:val="003E623B"/>
    <w:rsid w:val="003E62E1"/>
    <w:rsid w:val="003E69A3"/>
    <w:rsid w:val="003E6A5C"/>
    <w:rsid w:val="003E787B"/>
    <w:rsid w:val="003E7ABE"/>
    <w:rsid w:val="003E7B59"/>
    <w:rsid w:val="003F0AFB"/>
    <w:rsid w:val="003F1DAF"/>
    <w:rsid w:val="003F227C"/>
    <w:rsid w:val="003F2316"/>
    <w:rsid w:val="003F30FA"/>
    <w:rsid w:val="003F43F6"/>
    <w:rsid w:val="003F666B"/>
    <w:rsid w:val="003F74CE"/>
    <w:rsid w:val="004000F2"/>
    <w:rsid w:val="004005DD"/>
    <w:rsid w:val="00400975"/>
    <w:rsid w:val="0040127D"/>
    <w:rsid w:val="00401569"/>
    <w:rsid w:val="0040212B"/>
    <w:rsid w:val="00402F97"/>
    <w:rsid w:val="004049B7"/>
    <w:rsid w:val="00405883"/>
    <w:rsid w:val="00405B62"/>
    <w:rsid w:val="00406630"/>
    <w:rsid w:val="004067B5"/>
    <w:rsid w:val="00407968"/>
    <w:rsid w:val="00407D38"/>
    <w:rsid w:val="004113B9"/>
    <w:rsid w:val="004119F6"/>
    <w:rsid w:val="00413855"/>
    <w:rsid w:val="00413EDB"/>
    <w:rsid w:val="004140A4"/>
    <w:rsid w:val="004145BB"/>
    <w:rsid w:val="00414BDB"/>
    <w:rsid w:val="00414F78"/>
    <w:rsid w:val="0041632E"/>
    <w:rsid w:val="004164F2"/>
    <w:rsid w:val="004169EB"/>
    <w:rsid w:val="00417652"/>
    <w:rsid w:val="00417A9B"/>
    <w:rsid w:val="00417E56"/>
    <w:rsid w:val="00420858"/>
    <w:rsid w:val="00420E3B"/>
    <w:rsid w:val="00421A3E"/>
    <w:rsid w:val="00421F20"/>
    <w:rsid w:val="00422120"/>
    <w:rsid w:val="004223F5"/>
    <w:rsid w:val="00422B6D"/>
    <w:rsid w:val="0042327B"/>
    <w:rsid w:val="004241B8"/>
    <w:rsid w:val="00424224"/>
    <w:rsid w:val="00424526"/>
    <w:rsid w:val="004255DD"/>
    <w:rsid w:val="004266BC"/>
    <w:rsid w:val="00427135"/>
    <w:rsid w:val="00427EDC"/>
    <w:rsid w:val="00430D5D"/>
    <w:rsid w:val="004318BD"/>
    <w:rsid w:val="00431B1B"/>
    <w:rsid w:val="0043312C"/>
    <w:rsid w:val="00433C6C"/>
    <w:rsid w:val="00433E37"/>
    <w:rsid w:val="00434132"/>
    <w:rsid w:val="00435C33"/>
    <w:rsid w:val="00436C34"/>
    <w:rsid w:val="00436F09"/>
    <w:rsid w:val="0044004E"/>
    <w:rsid w:val="004408C6"/>
    <w:rsid w:val="00440D89"/>
    <w:rsid w:val="00440F8A"/>
    <w:rsid w:val="00441000"/>
    <w:rsid w:val="0044153B"/>
    <w:rsid w:val="00441589"/>
    <w:rsid w:val="00441E40"/>
    <w:rsid w:val="00442BAD"/>
    <w:rsid w:val="00443889"/>
    <w:rsid w:val="00444261"/>
    <w:rsid w:val="00445CB3"/>
    <w:rsid w:val="0044640C"/>
    <w:rsid w:val="00446BFA"/>
    <w:rsid w:val="00446DCC"/>
    <w:rsid w:val="00447EFA"/>
    <w:rsid w:val="0045061A"/>
    <w:rsid w:val="00450D64"/>
    <w:rsid w:val="00450EBC"/>
    <w:rsid w:val="0045165D"/>
    <w:rsid w:val="0045192F"/>
    <w:rsid w:val="00451BA7"/>
    <w:rsid w:val="00451EFC"/>
    <w:rsid w:val="00452138"/>
    <w:rsid w:val="00452808"/>
    <w:rsid w:val="00453DF6"/>
    <w:rsid w:val="00454A40"/>
    <w:rsid w:val="00456D99"/>
    <w:rsid w:val="00460B3E"/>
    <w:rsid w:val="00461235"/>
    <w:rsid w:val="00461E9A"/>
    <w:rsid w:val="00462911"/>
    <w:rsid w:val="00462B87"/>
    <w:rsid w:val="004635E9"/>
    <w:rsid w:val="00463997"/>
    <w:rsid w:val="004639A6"/>
    <w:rsid w:val="00463FFB"/>
    <w:rsid w:val="00464BFF"/>
    <w:rsid w:val="00464CE0"/>
    <w:rsid w:val="00467D24"/>
    <w:rsid w:val="0047021E"/>
    <w:rsid w:val="00470A58"/>
    <w:rsid w:val="00470B7E"/>
    <w:rsid w:val="00471702"/>
    <w:rsid w:val="00471A91"/>
    <w:rsid w:val="00474F73"/>
    <w:rsid w:val="00476216"/>
    <w:rsid w:val="004766F5"/>
    <w:rsid w:val="00477552"/>
    <w:rsid w:val="00480303"/>
    <w:rsid w:val="00481800"/>
    <w:rsid w:val="004818B0"/>
    <w:rsid w:val="004819A3"/>
    <w:rsid w:val="00481FC4"/>
    <w:rsid w:val="00482279"/>
    <w:rsid w:val="004829A6"/>
    <w:rsid w:val="0048357C"/>
    <w:rsid w:val="0048375E"/>
    <w:rsid w:val="004838C0"/>
    <w:rsid w:val="00483B16"/>
    <w:rsid w:val="00484209"/>
    <w:rsid w:val="004843E2"/>
    <w:rsid w:val="00484B4E"/>
    <w:rsid w:val="004862E7"/>
    <w:rsid w:val="0048675F"/>
    <w:rsid w:val="00486CD4"/>
    <w:rsid w:val="00486CEF"/>
    <w:rsid w:val="004876D3"/>
    <w:rsid w:val="00487BAE"/>
    <w:rsid w:val="00487BE0"/>
    <w:rsid w:val="004904B9"/>
    <w:rsid w:val="00490BBF"/>
    <w:rsid w:val="004920F4"/>
    <w:rsid w:val="004922EB"/>
    <w:rsid w:val="004925CE"/>
    <w:rsid w:val="00493D34"/>
    <w:rsid w:val="00493EC7"/>
    <w:rsid w:val="00495BF4"/>
    <w:rsid w:val="00496D42"/>
    <w:rsid w:val="00497B3B"/>
    <w:rsid w:val="004A079A"/>
    <w:rsid w:val="004A0C00"/>
    <w:rsid w:val="004A0CF8"/>
    <w:rsid w:val="004A0F49"/>
    <w:rsid w:val="004A112E"/>
    <w:rsid w:val="004A1753"/>
    <w:rsid w:val="004A2084"/>
    <w:rsid w:val="004A2355"/>
    <w:rsid w:val="004A2521"/>
    <w:rsid w:val="004A26E0"/>
    <w:rsid w:val="004A301E"/>
    <w:rsid w:val="004A3B0C"/>
    <w:rsid w:val="004A4602"/>
    <w:rsid w:val="004A5F00"/>
    <w:rsid w:val="004A79CE"/>
    <w:rsid w:val="004B0CC2"/>
    <w:rsid w:val="004B0FEE"/>
    <w:rsid w:val="004B3D6D"/>
    <w:rsid w:val="004B3EF8"/>
    <w:rsid w:val="004B40E7"/>
    <w:rsid w:val="004B56D8"/>
    <w:rsid w:val="004B58A9"/>
    <w:rsid w:val="004C168A"/>
    <w:rsid w:val="004C1803"/>
    <w:rsid w:val="004C28BF"/>
    <w:rsid w:val="004C30B6"/>
    <w:rsid w:val="004C3442"/>
    <w:rsid w:val="004C35DF"/>
    <w:rsid w:val="004C38C0"/>
    <w:rsid w:val="004C3A6D"/>
    <w:rsid w:val="004C3E1B"/>
    <w:rsid w:val="004C3F4E"/>
    <w:rsid w:val="004C455D"/>
    <w:rsid w:val="004C4889"/>
    <w:rsid w:val="004C4A8B"/>
    <w:rsid w:val="004C52E6"/>
    <w:rsid w:val="004C77D5"/>
    <w:rsid w:val="004C7E70"/>
    <w:rsid w:val="004D0FEC"/>
    <w:rsid w:val="004D12B1"/>
    <w:rsid w:val="004D1D41"/>
    <w:rsid w:val="004D32D3"/>
    <w:rsid w:val="004D3894"/>
    <w:rsid w:val="004E0935"/>
    <w:rsid w:val="004E18CD"/>
    <w:rsid w:val="004E1FF2"/>
    <w:rsid w:val="004E21DD"/>
    <w:rsid w:val="004E26F0"/>
    <w:rsid w:val="004E2A84"/>
    <w:rsid w:val="004E35FD"/>
    <w:rsid w:val="004E3992"/>
    <w:rsid w:val="004E3B22"/>
    <w:rsid w:val="004E48D0"/>
    <w:rsid w:val="004E567C"/>
    <w:rsid w:val="004E5681"/>
    <w:rsid w:val="004E568E"/>
    <w:rsid w:val="004E5966"/>
    <w:rsid w:val="004E6EDF"/>
    <w:rsid w:val="004E7E35"/>
    <w:rsid w:val="004F0C87"/>
    <w:rsid w:val="004F0FA4"/>
    <w:rsid w:val="004F1EC9"/>
    <w:rsid w:val="004F22BD"/>
    <w:rsid w:val="004F3097"/>
    <w:rsid w:val="004F32AE"/>
    <w:rsid w:val="004F410C"/>
    <w:rsid w:val="004F4680"/>
    <w:rsid w:val="004F4B65"/>
    <w:rsid w:val="004F5780"/>
    <w:rsid w:val="004F620F"/>
    <w:rsid w:val="004F625F"/>
    <w:rsid w:val="004F62BA"/>
    <w:rsid w:val="004F67DB"/>
    <w:rsid w:val="005007AF"/>
    <w:rsid w:val="00500B40"/>
    <w:rsid w:val="00501A38"/>
    <w:rsid w:val="00501DB6"/>
    <w:rsid w:val="00501FA9"/>
    <w:rsid w:val="005021F3"/>
    <w:rsid w:val="005028CA"/>
    <w:rsid w:val="00502D1B"/>
    <w:rsid w:val="00502E8F"/>
    <w:rsid w:val="005030AD"/>
    <w:rsid w:val="00503942"/>
    <w:rsid w:val="00503A06"/>
    <w:rsid w:val="00503EEC"/>
    <w:rsid w:val="0050441B"/>
    <w:rsid w:val="00505271"/>
    <w:rsid w:val="005054F6"/>
    <w:rsid w:val="00505E90"/>
    <w:rsid w:val="00506A84"/>
    <w:rsid w:val="00507BF9"/>
    <w:rsid w:val="00507E6B"/>
    <w:rsid w:val="00507F7F"/>
    <w:rsid w:val="0051000E"/>
    <w:rsid w:val="005105E2"/>
    <w:rsid w:val="0051108D"/>
    <w:rsid w:val="00513337"/>
    <w:rsid w:val="005134A9"/>
    <w:rsid w:val="00514D8C"/>
    <w:rsid w:val="00515F98"/>
    <w:rsid w:val="00516D33"/>
    <w:rsid w:val="00517416"/>
    <w:rsid w:val="00517957"/>
    <w:rsid w:val="005208EE"/>
    <w:rsid w:val="005212AF"/>
    <w:rsid w:val="005215B4"/>
    <w:rsid w:val="00522223"/>
    <w:rsid w:val="00522AA3"/>
    <w:rsid w:val="005233F0"/>
    <w:rsid w:val="005233F8"/>
    <w:rsid w:val="005238EF"/>
    <w:rsid w:val="0052484F"/>
    <w:rsid w:val="005252C4"/>
    <w:rsid w:val="005253F2"/>
    <w:rsid w:val="00525D71"/>
    <w:rsid w:val="00526067"/>
    <w:rsid w:val="00526671"/>
    <w:rsid w:val="00526A4A"/>
    <w:rsid w:val="00526CC9"/>
    <w:rsid w:val="0052717E"/>
    <w:rsid w:val="0052737F"/>
    <w:rsid w:val="00527A51"/>
    <w:rsid w:val="00527C3D"/>
    <w:rsid w:val="0053074D"/>
    <w:rsid w:val="00530B73"/>
    <w:rsid w:val="00530FC8"/>
    <w:rsid w:val="00531496"/>
    <w:rsid w:val="00531965"/>
    <w:rsid w:val="00532C94"/>
    <w:rsid w:val="00533CB4"/>
    <w:rsid w:val="00534772"/>
    <w:rsid w:val="005352D2"/>
    <w:rsid w:val="00536DF9"/>
    <w:rsid w:val="00537048"/>
    <w:rsid w:val="0053735D"/>
    <w:rsid w:val="005409E4"/>
    <w:rsid w:val="00540A02"/>
    <w:rsid w:val="00541288"/>
    <w:rsid w:val="0054167F"/>
    <w:rsid w:val="00541909"/>
    <w:rsid w:val="0054280A"/>
    <w:rsid w:val="00542915"/>
    <w:rsid w:val="00542D6E"/>
    <w:rsid w:val="005430D0"/>
    <w:rsid w:val="00543540"/>
    <w:rsid w:val="0054647C"/>
    <w:rsid w:val="00546B37"/>
    <w:rsid w:val="005477E0"/>
    <w:rsid w:val="00547AE3"/>
    <w:rsid w:val="00550383"/>
    <w:rsid w:val="00551B78"/>
    <w:rsid w:val="005526AB"/>
    <w:rsid w:val="0055310E"/>
    <w:rsid w:val="00553A14"/>
    <w:rsid w:val="005547E6"/>
    <w:rsid w:val="0055569E"/>
    <w:rsid w:val="0055621B"/>
    <w:rsid w:val="00556EE5"/>
    <w:rsid w:val="00557380"/>
    <w:rsid w:val="00557771"/>
    <w:rsid w:val="005577B2"/>
    <w:rsid w:val="00557897"/>
    <w:rsid w:val="00557FBD"/>
    <w:rsid w:val="0056010B"/>
    <w:rsid w:val="00560567"/>
    <w:rsid w:val="0056065C"/>
    <w:rsid w:val="00560709"/>
    <w:rsid w:val="005613F4"/>
    <w:rsid w:val="00561B03"/>
    <w:rsid w:val="00561E46"/>
    <w:rsid w:val="00562638"/>
    <w:rsid w:val="0056292A"/>
    <w:rsid w:val="00563705"/>
    <w:rsid w:val="00563F5A"/>
    <w:rsid w:val="0056411D"/>
    <w:rsid w:val="005644EE"/>
    <w:rsid w:val="005647DE"/>
    <w:rsid w:val="00564BE1"/>
    <w:rsid w:val="00565638"/>
    <w:rsid w:val="00565F92"/>
    <w:rsid w:val="00566FA4"/>
    <w:rsid w:val="005674F4"/>
    <w:rsid w:val="00567E81"/>
    <w:rsid w:val="005709A9"/>
    <w:rsid w:val="005709E0"/>
    <w:rsid w:val="00570B68"/>
    <w:rsid w:val="005713FF"/>
    <w:rsid w:val="00571954"/>
    <w:rsid w:val="00571CB7"/>
    <w:rsid w:val="00572784"/>
    <w:rsid w:val="00572B7F"/>
    <w:rsid w:val="00573548"/>
    <w:rsid w:val="00573E68"/>
    <w:rsid w:val="0057591E"/>
    <w:rsid w:val="00575B65"/>
    <w:rsid w:val="00576043"/>
    <w:rsid w:val="00576D58"/>
    <w:rsid w:val="00577AA1"/>
    <w:rsid w:val="00577AC6"/>
    <w:rsid w:val="005809CC"/>
    <w:rsid w:val="00580B4E"/>
    <w:rsid w:val="00580FA5"/>
    <w:rsid w:val="005825B6"/>
    <w:rsid w:val="005827EF"/>
    <w:rsid w:val="00583352"/>
    <w:rsid w:val="00583956"/>
    <w:rsid w:val="00584C72"/>
    <w:rsid w:val="00585342"/>
    <w:rsid w:val="0058775A"/>
    <w:rsid w:val="00591BEB"/>
    <w:rsid w:val="00591E9B"/>
    <w:rsid w:val="005921D4"/>
    <w:rsid w:val="00592B4B"/>
    <w:rsid w:val="00592F9A"/>
    <w:rsid w:val="00593455"/>
    <w:rsid w:val="005935A8"/>
    <w:rsid w:val="00593F68"/>
    <w:rsid w:val="0059428F"/>
    <w:rsid w:val="00594591"/>
    <w:rsid w:val="0059471D"/>
    <w:rsid w:val="00595717"/>
    <w:rsid w:val="005976DA"/>
    <w:rsid w:val="005977C2"/>
    <w:rsid w:val="005A027A"/>
    <w:rsid w:val="005A03E7"/>
    <w:rsid w:val="005A078A"/>
    <w:rsid w:val="005A07D4"/>
    <w:rsid w:val="005A166D"/>
    <w:rsid w:val="005A2CDA"/>
    <w:rsid w:val="005A2E86"/>
    <w:rsid w:val="005A2EDA"/>
    <w:rsid w:val="005A3222"/>
    <w:rsid w:val="005A33CB"/>
    <w:rsid w:val="005A3557"/>
    <w:rsid w:val="005A356D"/>
    <w:rsid w:val="005A374A"/>
    <w:rsid w:val="005A4C67"/>
    <w:rsid w:val="005A4E7E"/>
    <w:rsid w:val="005A51FF"/>
    <w:rsid w:val="005A5395"/>
    <w:rsid w:val="005A6219"/>
    <w:rsid w:val="005A688F"/>
    <w:rsid w:val="005A6ADF"/>
    <w:rsid w:val="005A705A"/>
    <w:rsid w:val="005A71D5"/>
    <w:rsid w:val="005A73C0"/>
    <w:rsid w:val="005A74F4"/>
    <w:rsid w:val="005B072D"/>
    <w:rsid w:val="005B1539"/>
    <w:rsid w:val="005B15EB"/>
    <w:rsid w:val="005B1ADE"/>
    <w:rsid w:val="005B1F99"/>
    <w:rsid w:val="005B36C8"/>
    <w:rsid w:val="005B4719"/>
    <w:rsid w:val="005B484E"/>
    <w:rsid w:val="005B638F"/>
    <w:rsid w:val="005B6E93"/>
    <w:rsid w:val="005B7355"/>
    <w:rsid w:val="005C00B8"/>
    <w:rsid w:val="005C09CA"/>
    <w:rsid w:val="005C20B2"/>
    <w:rsid w:val="005C2548"/>
    <w:rsid w:val="005C35A0"/>
    <w:rsid w:val="005C37F9"/>
    <w:rsid w:val="005C3F58"/>
    <w:rsid w:val="005C4A64"/>
    <w:rsid w:val="005C505B"/>
    <w:rsid w:val="005C688C"/>
    <w:rsid w:val="005D0165"/>
    <w:rsid w:val="005D08DE"/>
    <w:rsid w:val="005D0BF7"/>
    <w:rsid w:val="005D151F"/>
    <w:rsid w:val="005D2333"/>
    <w:rsid w:val="005D2C20"/>
    <w:rsid w:val="005D301B"/>
    <w:rsid w:val="005D3542"/>
    <w:rsid w:val="005D3B63"/>
    <w:rsid w:val="005D3F03"/>
    <w:rsid w:val="005D4463"/>
    <w:rsid w:val="005D4E79"/>
    <w:rsid w:val="005D529B"/>
    <w:rsid w:val="005D52C6"/>
    <w:rsid w:val="005D556E"/>
    <w:rsid w:val="005D6EC0"/>
    <w:rsid w:val="005D7570"/>
    <w:rsid w:val="005D7708"/>
    <w:rsid w:val="005D7885"/>
    <w:rsid w:val="005D7BF4"/>
    <w:rsid w:val="005E19E5"/>
    <w:rsid w:val="005E1C87"/>
    <w:rsid w:val="005E2577"/>
    <w:rsid w:val="005E2B32"/>
    <w:rsid w:val="005E3980"/>
    <w:rsid w:val="005E3FE7"/>
    <w:rsid w:val="005E4882"/>
    <w:rsid w:val="005E5970"/>
    <w:rsid w:val="005E5BB0"/>
    <w:rsid w:val="005E6E19"/>
    <w:rsid w:val="005E7792"/>
    <w:rsid w:val="005E7B23"/>
    <w:rsid w:val="005F06DD"/>
    <w:rsid w:val="005F0F7F"/>
    <w:rsid w:val="005F1A3C"/>
    <w:rsid w:val="005F2732"/>
    <w:rsid w:val="005F3497"/>
    <w:rsid w:val="005F3A6C"/>
    <w:rsid w:val="005F3E0B"/>
    <w:rsid w:val="005F667A"/>
    <w:rsid w:val="005F73B5"/>
    <w:rsid w:val="005F766C"/>
    <w:rsid w:val="005F798C"/>
    <w:rsid w:val="006002BA"/>
    <w:rsid w:val="00600319"/>
    <w:rsid w:val="006011F5"/>
    <w:rsid w:val="00601802"/>
    <w:rsid w:val="00601E66"/>
    <w:rsid w:val="00602181"/>
    <w:rsid w:val="00603E2C"/>
    <w:rsid w:val="00604046"/>
    <w:rsid w:val="00604CE1"/>
    <w:rsid w:val="00604FF4"/>
    <w:rsid w:val="0060537A"/>
    <w:rsid w:val="00605534"/>
    <w:rsid w:val="006059B7"/>
    <w:rsid w:val="006066FB"/>
    <w:rsid w:val="00606716"/>
    <w:rsid w:val="00606E45"/>
    <w:rsid w:val="00607D10"/>
    <w:rsid w:val="00610264"/>
    <w:rsid w:val="00611C1C"/>
    <w:rsid w:val="0061259E"/>
    <w:rsid w:val="006127E7"/>
    <w:rsid w:val="00612AE6"/>
    <w:rsid w:val="00612FDA"/>
    <w:rsid w:val="0061476C"/>
    <w:rsid w:val="00615041"/>
    <w:rsid w:val="00615628"/>
    <w:rsid w:val="00616689"/>
    <w:rsid w:val="00616FD6"/>
    <w:rsid w:val="006210B6"/>
    <w:rsid w:val="006215A9"/>
    <w:rsid w:val="0062339E"/>
    <w:rsid w:val="00623695"/>
    <w:rsid w:val="006238D7"/>
    <w:rsid w:val="00623D94"/>
    <w:rsid w:val="006240F9"/>
    <w:rsid w:val="0062514D"/>
    <w:rsid w:val="00625CF5"/>
    <w:rsid w:val="0062732A"/>
    <w:rsid w:val="00627EA1"/>
    <w:rsid w:val="00631876"/>
    <w:rsid w:val="006319C8"/>
    <w:rsid w:val="00632ECC"/>
    <w:rsid w:val="00633373"/>
    <w:rsid w:val="00633590"/>
    <w:rsid w:val="00634B18"/>
    <w:rsid w:val="0063628C"/>
    <w:rsid w:val="006364DE"/>
    <w:rsid w:val="00636629"/>
    <w:rsid w:val="00636DF8"/>
    <w:rsid w:val="00637517"/>
    <w:rsid w:val="00640427"/>
    <w:rsid w:val="006405F4"/>
    <w:rsid w:val="00641416"/>
    <w:rsid w:val="006418C0"/>
    <w:rsid w:val="00641D4A"/>
    <w:rsid w:val="006428E4"/>
    <w:rsid w:val="00643702"/>
    <w:rsid w:val="0064387B"/>
    <w:rsid w:val="00644D12"/>
    <w:rsid w:val="00644E2B"/>
    <w:rsid w:val="00650648"/>
    <w:rsid w:val="0065210B"/>
    <w:rsid w:val="00653DDD"/>
    <w:rsid w:val="00654389"/>
    <w:rsid w:val="00654477"/>
    <w:rsid w:val="00654AF7"/>
    <w:rsid w:val="00654DE1"/>
    <w:rsid w:val="00654F6F"/>
    <w:rsid w:val="00657BA3"/>
    <w:rsid w:val="0066074F"/>
    <w:rsid w:val="006613BD"/>
    <w:rsid w:val="00661510"/>
    <w:rsid w:val="006629C2"/>
    <w:rsid w:val="00663653"/>
    <w:rsid w:val="00663907"/>
    <w:rsid w:val="0066424A"/>
    <w:rsid w:val="00664646"/>
    <w:rsid w:val="00664670"/>
    <w:rsid w:val="0066497D"/>
    <w:rsid w:val="0066521E"/>
    <w:rsid w:val="0066552D"/>
    <w:rsid w:val="00665896"/>
    <w:rsid w:val="00665E18"/>
    <w:rsid w:val="006673AF"/>
    <w:rsid w:val="006705EF"/>
    <w:rsid w:val="00671244"/>
    <w:rsid w:val="00671E31"/>
    <w:rsid w:val="00672589"/>
    <w:rsid w:val="006729F9"/>
    <w:rsid w:val="0067418E"/>
    <w:rsid w:val="00674DBB"/>
    <w:rsid w:val="00675199"/>
    <w:rsid w:val="0067542B"/>
    <w:rsid w:val="00675AF5"/>
    <w:rsid w:val="00675D72"/>
    <w:rsid w:val="00676474"/>
    <w:rsid w:val="00676D37"/>
    <w:rsid w:val="00677E83"/>
    <w:rsid w:val="0068030E"/>
    <w:rsid w:val="00680364"/>
    <w:rsid w:val="006823D2"/>
    <w:rsid w:val="00682626"/>
    <w:rsid w:val="0068328A"/>
    <w:rsid w:val="0068378A"/>
    <w:rsid w:val="00683860"/>
    <w:rsid w:val="00683B94"/>
    <w:rsid w:val="00684798"/>
    <w:rsid w:val="006858EB"/>
    <w:rsid w:val="00690C36"/>
    <w:rsid w:val="00691D22"/>
    <w:rsid w:val="00691F6B"/>
    <w:rsid w:val="006928B3"/>
    <w:rsid w:val="00693282"/>
    <w:rsid w:val="00693286"/>
    <w:rsid w:val="006932D9"/>
    <w:rsid w:val="00693F50"/>
    <w:rsid w:val="00694632"/>
    <w:rsid w:val="006946E4"/>
    <w:rsid w:val="00694973"/>
    <w:rsid w:val="006956E6"/>
    <w:rsid w:val="006A08B5"/>
    <w:rsid w:val="006A0A60"/>
    <w:rsid w:val="006A223F"/>
    <w:rsid w:val="006A5425"/>
    <w:rsid w:val="006A559B"/>
    <w:rsid w:val="006A5E1C"/>
    <w:rsid w:val="006A618D"/>
    <w:rsid w:val="006A7262"/>
    <w:rsid w:val="006A7647"/>
    <w:rsid w:val="006A7EF4"/>
    <w:rsid w:val="006B11C1"/>
    <w:rsid w:val="006B207E"/>
    <w:rsid w:val="006B29FC"/>
    <w:rsid w:val="006B2F53"/>
    <w:rsid w:val="006B3461"/>
    <w:rsid w:val="006B3462"/>
    <w:rsid w:val="006B34C1"/>
    <w:rsid w:val="006B3CBC"/>
    <w:rsid w:val="006B3FE8"/>
    <w:rsid w:val="006B417A"/>
    <w:rsid w:val="006B515E"/>
    <w:rsid w:val="006B5B83"/>
    <w:rsid w:val="006B5C68"/>
    <w:rsid w:val="006B5E83"/>
    <w:rsid w:val="006B6CA4"/>
    <w:rsid w:val="006B7379"/>
    <w:rsid w:val="006B7637"/>
    <w:rsid w:val="006B7E2C"/>
    <w:rsid w:val="006C0032"/>
    <w:rsid w:val="006C04CA"/>
    <w:rsid w:val="006C0B21"/>
    <w:rsid w:val="006C1A22"/>
    <w:rsid w:val="006C1A2D"/>
    <w:rsid w:val="006C1BE5"/>
    <w:rsid w:val="006C215F"/>
    <w:rsid w:val="006C44F6"/>
    <w:rsid w:val="006C455B"/>
    <w:rsid w:val="006C46A5"/>
    <w:rsid w:val="006C500C"/>
    <w:rsid w:val="006C56A4"/>
    <w:rsid w:val="006C5B92"/>
    <w:rsid w:val="006C6962"/>
    <w:rsid w:val="006C77B9"/>
    <w:rsid w:val="006D209F"/>
    <w:rsid w:val="006D35E7"/>
    <w:rsid w:val="006D37A7"/>
    <w:rsid w:val="006D4A6F"/>
    <w:rsid w:val="006D4CCF"/>
    <w:rsid w:val="006D62F8"/>
    <w:rsid w:val="006D6FE5"/>
    <w:rsid w:val="006D7059"/>
    <w:rsid w:val="006D7189"/>
    <w:rsid w:val="006E0061"/>
    <w:rsid w:val="006E038E"/>
    <w:rsid w:val="006E088C"/>
    <w:rsid w:val="006E0AAC"/>
    <w:rsid w:val="006E1B09"/>
    <w:rsid w:val="006E22B4"/>
    <w:rsid w:val="006E243B"/>
    <w:rsid w:val="006E30D2"/>
    <w:rsid w:val="006E3C60"/>
    <w:rsid w:val="006E3D36"/>
    <w:rsid w:val="006E3E76"/>
    <w:rsid w:val="006E40DF"/>
    <w:rsid w:val="006E4114"/>
    <w:rsid w:val="006E438E"/>
    <w:rsid w:val="006E676E"/>
    <w:rsid w:val="006E6CFB"/>
    <w:rsid w:val="006F189A"/>
    <w:rsid w:val="006F1BB7"/>
    <w:rsid w:val="006F1E47"/>
    <w:rsid w:val="006F20CA"/>
    <w:rsid w:val="006F2F22"/>
    <w:rsid w:val="006F42DA"/>
    <w:rsid w:val="006F4508"/>
    <w:rsid w:val="006F463D"/>
    <w:rsid w:val="006F4CAE"/>
    <w:rsid w:val="006F5F4F"/>
    <w:rsid w:val="006F61ED"/>
    <w:rsid w:val="006F6EFF"/>
    <w:rsid w:val="006F7473"/>
    <w:rsid w:val="00700E6C"/>
    <w:rsid w:val="00701834"/>
    <w:rsid w:val="00701B3B"/>
    <w:rsid w:val="00702A34"/>
    <w:rsid w:val="00702A37"/>
    <w:rsid w:val="00702C50"/>
    <w:rsid w:val="007033B7"/>
    <w:rsid w:val="00703474"/>
    <w:rsid w:val="007038A8"/>
    <w:rsid w:val="00704592"/>
    <w:rsid w:val="00706DD5"/>
    <w:rsid w:val="007076AC"/>
    <w:rsid w:val="007101A9"/>
    <w:rsid w:val="00710CD2"/>
    <w:rsid w:val="00712F79"/>
    <w:rsid w:val="00713136"/>
    <w:rsid w:val="00713BEF"/>
    <w:rsid w:val="00714011"/>
    <w:rsid w:val="00714A86"/>
    <w:rsid w:val="00715148"/>
    <w:rsid w:val="00716AFD"/>
    <w:rsid w:val="00717790"/>
    <w:rsid w:val="00720469"/>
    <w:rsid w:val="00721BAA"/>
    <w:rsid w:val="00721D4A"/>
    <w:rsid w:val="007222F7"/>
    <w:rsid w:val="00722AB3"/>
    <w:rsid w:val="007251D2"/>
    <w:rsid w:val="007259A7"/>
    <w:rsid w:val="007264A0"/>
    <w:rsid w:val="00726775"/>
    <w:rsid w:val="00726B65"/>
    <w:rsid w:val="00730F94"/>
    <w:rsid w:val="00732089"/>
    <w:rsid w:val="007323A0"/>
    <w:rsid w:val="007330C5"/>
    <w:rsid w:val="00734A2A"/>
    <w:rsid w:val="0073545F"/>
    <w:rsid w:val="00735D49"/>
    <w:rsid w:val="00736B78"/>
    <w:rsid w:val="007375F6"/>
    <w:rsid w:val="00740983"/>
    <w:rsid w:val="00741ACD"/>
    <w:rsid w:val="00744027"/>
    <w:rsid w:val="007446E0"/>
    <w:rsid w:val="007459A6"/>
    <w:rsid w:val="0074725E"/>
    <w:rsid w:val="00747D73"/>
    <w:rsid w:val="007508F0"/>
    <w:rsid w:val="00751D47"/>
    <w:rsid w:val="00752687"/>
    <w:rsid w:val="007528CA"/>
    <w:rsid w:val="0075311F"/>
    <w:rsid w:val="00753226"/>
    <w:rsid w:val="00753B9B"/>
    <w:rsid w:val="00756B69"/>
    <w:rsid w:val="00760258"/>
    <w:rsid w:val="0076092C"/>
    <w:rsid w:val="00761C62"/>
    <w:rsid w:val="00761F29"/>
    <w:rsid w:val="0076259A"/>
    <w:rsid w:val="0076283A"/>
    <w:rsid w:val="00763732"/>
    <w:rsid w:val="0076376F"/>
    <w:rsid w:val="00763C2D"/>
    <w:rsid w:val="00764633"/>
    <w:rsid w:val="007648E2"/>
    <w:rsid w:val="007650C8"/>
    <w:rsid w:val="00765BC7"/>
    <w:rsid w:val="00766128"/>
    <w:rsid w:val="0076652C"/>
    <w:rsid w:val="007668D8"/>
    <w:rsid w:val="00767282"/>
    <w:rsid w:val="0076780D"/>
    <w:rsid w:val="00770227"/>
    <w:rsid w:val="00770526"/>
    <w:rsid w:val="007705A9"/>
    <w:rsid w:val="007705FA"/>
    <w:rsid w:val="00770AFE"/>
    <w:rsid w:val="00771B2C"/>
    <w:rsid w:val="0077245A"/>
    <w:rsid w:val="007726B7"/>
    <w:rsid w:val="0077272F"/>
    <w:rsid w:val="007749CA"/>
    <w:rsid w:val="00777847"/>
    <w:rsid w:val="00780687"/>
    <w:rsid w:val="007817D0"/>
    <w:rsid w:val="00781ECC"/>
    <w:rsid w:val="007826D4"/>
    <w:rsid w:val="00782A91"/>
    <w:rsid w:val="00782C5C"/>
    <w:rsid w:val="00783D5B"/>
    <w:rsid w:val="00783E40"/>
    <w:rsid w:val="00784A01"/>
    <w:rsid w:val="00784AC6"/>
    <w:rsid w:val="0078526D"/>
    <w:rsid w:val="0078559F"/>
    <w:rsid w:val="0078609C"/>
    <w:rsid w:val="00786F91"/>
    <w:rsid w:val="00786FF2"/>
    <w:rsid w:val="00787440"/>
    <w:rsid w:val="007877E7"/>
    <w:rsid w:val="00787844"/>
    <w:rsid w:val="00790C7D"/>
    <w:rsid w:val="00792276"/>
    <w:rsid w:val="00792B7A"/>
    <w:rsid w:val="00793289"/>
    <w:rsid w:val="0079488E"/>
    <w:rsid w:val="007948E7"/>
    <w:rsid w:val="00794910"/>
    <w:rsid w:val="00794C9E"/>
    <w:rsid w:val="0079558F"/>
    <w:rsid w:val="007A1925"/>
    <w:rsid w:val="007A3722"/>
    <w:rsid w:val="007A44A0"/>
    <w:rsid w:val="007A44DD"/>
    <w:rsid w:val="007A5B19"/>
    <w:rsid w:val="007A62BF"/>
    <w:rsid w:val="007A6A97"/>
    <w:rsid w:val="007A6E19"/>
    <w:rsid w:val="007A7225"/>
    <w:rsid w:val="007A7456"/>
    <w:rsid w:val="007A7D57"/>
    <w:rsid w:val="007B0771"/>
    <w:rsid w:val="007B0C5D"/>
    <w:rsid w:val="007B143E"/>
    <w:rsid w:val="007B1E24"/>
    <w:rsid w:val="007B2750"/>
    <w:rsid w:val="007B287A"/>
    <w:rsid w:val="007B3495"/>
    <w:rsid w:val="007B5BCC"/>
    <w:rsid w:val="007B68B0"/>
    <w:rsid w:val="007C0427"/>
    <w:rsid w:val="007C1B62"/>
    <w:rsid w:val="007C2A89"/>
    <w:rsid w:val="007C2BEA"/>
    <w:rsid w:val="007C31E9"/>
    <w:rsid w:val="007C36C1"/>
    <w:rsid w:val="007C3CE8"/>
    <w:rsid w:val="007C44BA"/>
    <w:rsid w:val="007C49B4"/>
    <w:rsid w:val="007C4CCE"/>
    <w:rsid w:val="007C5F82"/>
    <w:rsid w:val="007C6B37"/>
    <w:rsid w:val="007C7892"/>
    <w:rsid w:val="007C7919"/>
    <w:rsid w:val="007D014F"/>
    <w:rsid w:val="007D0374"/>
    <w:rsid w:val="007D1239"/>
    <w:rsid w:val="007D14F6"/>
    <w:rsid w:val="007D1DEF"/>
    <w:rsid w:val="007D2083"/>
    <w:rsid w:val="007D22FE"/>
    <w:rsid w:val="007D238A"/>
    <w:rsid w:val="007D305E"/>
    <w:rsid w:val="007D31F7"/>
    <w:rsid w:val="007D3580"/>
    <w:rsid w:val="007D3790"/>
    <w:rsid w:val="007D4EAA"/>
    <w:rsid w:val="007D7EFB"/>
    <w:rsid w:val="007D7F7D"/>
    <w:rsid w:val="007E0AC1"/>
    <w:rsid w:val="007E0FBE"/>
    <w:rsid w:val="007E1A3D"/>
    <w:rsid w:val="007E1AC3"/>
    <w:rsid w:val="007E25A1"/>
    <w:rsid w:val="007E3361"/>
    <w:rsid w:val="007E376E"/>
    <w:rsid w:val="007E4D35"/>
    <w:rsid w:val="007E6A59"/>
    <w:rsid w:val="007E71A5"/>
    <w:rsid w:val="007E7E57"/>
    <w:rsid w:val="007F11B1"/>
    <w:rsid w:val="007F2492"/>
    <w:rsid w:val="007F2D35"/>
    <w:rsid w:val="007F3371"/>
    <w:rsid w:val="007F4E78"/>
    <w:rsid w:val="007F63C1"/>
    <w:rsid w:val="007F75FB"/>
    <w:rsid w:val="00802480"/>
    <w:rsid w:val="008027CD"/>
    <w:rsid w:val="008029DC"/>
    <w:rsid w:val="00802DD0"/>
    <w:rsid w:val="0080520A"/>
    <w:rsid w:val="008056DB"/>
    <w:rsid w:val="00805945"/>
    <w:rsid w:val="00805DBA"/>
    <w:rsid w:val="008063D0"/>
    <w:rsid w:val="0080686B"/>
    <w:rsid w:val="008069A2"/>
    <w:rsid w:val="00806FBB"/>
    <w:rsid w:val="008105C8"/>
    <w:rsid w:val="008124FB"/>
    <w:rsid w:val="00812735"/>
    <w:rsid w:val="0081348D"/>
    <w:rsid w:val="00813976"/>
    <w:rsid w:val="00813FCA"/>
    <w:rsid w:val="00814BB0"/>
    <w:rsid w:val="00814EF2"/>
    <w:rsid w:val="00815345"/>
    <w:rsid w:val="008155EB"/>
    <w:rsid w:val="0081647C"/>
    <w:rsid w:val="008167CE"/>
    <w:rsid w:val="00817F74"/>
    <w:rsid w:val="0082265C"/>
    <w:rsid w:val="0082300C"/>
    <w:rsid w:val="00825135"/>
    <w:rsid w:val="00825A8D"/>
    <w:rsid w:val="00825AFA"/>
    <w:rsid w:val="00826741"/>
    <w:rsid w:val="00826E31"/>
    <w:rsid w:val="00827E07"/>
    <w:rsid w:val="008311F3"/>
    <w:rsid w:val="00832822"/>
    <w:rsid w:val="008333CC"/>
    <w:rsid w:val="00833715"/>
    <w:rsid w:val="008362DB"/>
    <w:rsid w:val="00836474"/>
    <w:rsid w:val="00837998"/>
    <w:rsid w:val="00837E45"/>
    <w:rsid w:val="00840188"/>
    <w:rsid w:val="008401DE"/>
    <w:rsid w:val="00841668"/>
    <w:rsid w:val="00841FE6"/>
    <w:rsid w:val="0084221A"/>
    <w:rsid w:val="0084260A"/>
    <w:rsid w:val="00842E1B"/>
    <w:rsid w:val="008436B7"/>
    <w:rsid w:val="00843973"/>
    <w:rsid w:val="00843A7E"/>
    <w:rsid w:val="00843CAF"/>
    <w:rsid w:val="00844016"/>
    <w:rsid w:val="00844FB1"/>
    <w:rsid w:val="00845241"/>
    <w:rsid w:val="00845D7D"/>
    <w:rsid w:val="00846287"/>
    <w:rsid w:val="00846955"/>
    <w:rsid w:val="00846DFA"/>
    <w:rsid w:val="00847517"/>
    <w:rsid w:val="00847A38"/>
    <w:rsid w:val="00847D08"/>
    <w:rsid w:val="0085044C"/>
    <w:rsid w:val="008506DE"/>
    <w:rsid w:val="00850A0C"/>
    <w:rsid w:val="00853BC8"/>
    <w:rsid w:val="0085484B"/>
    <w:rsid w:val="00855F2F"/>
    <w:rsid w:val="00857656"/>
    <w:rsid w:val="00857D44"/>
    <w:rsid w:val="008605AB"/>
    <w:rsid w:val="008608CA"/>
    <w:rsid w:val="00860B92"/>
    <w:rsid w:val="00860C1A"/>
    <w:rsid w:val="008610F0"/>
    <w:rsid w:val="00861B8D"/>
    <w:rsid w:val="00863283"/>
    <w:rsid w:val="008645E7"/>
    <w:rsid w:val="00864733"/>
    <w:rsid w:val="00866857"/>
    <w:rsid w:val="00866D0D"/>
    <w:rsid w:val="00867DEF"/>
    <w:rsid w:val="008722EA"/>
    <w:rsid w:val="00873B56"/>
    <w:rsid w:val="00873F42"/>
    <w:rsid w:val="008745EB"/>
    <w:rsid w:val="00874659"/>
    <w:rsid w:val="00874E6E"/>
    <w:rsid w:val="008751DB"/>
    <w:rsid w:val="00875B14"/>
    <w:rsid w:val="00875C94"/>
    <w:rsid w:val="00876003"/>
    <w:rsid w:val="0087693F"/>
    <w:rsid w:val="00876CC4"/>
    <w:rsid w:val="00880A41"/>
    <w:rsid w:val="00880BA4"/>
    <w:rsid w:val="00881A09"/>
    <w:rsid w:val="00881DFB"/>
    <w:rsid w:val="00883BCF"/>
    <w:rsid w:val="0088433C"/>
    <w:rsid w:val="00885CF2"/>
    <w:rsid w:val="008861A3"/>
    <w:rsid w:val="00886495"/>
    <w:rsid w:val="00886B09"/>
    <w:rsid w:val="00886C97"/>
    <w:rsid w:val="008909ED"/>
    <w:rsid w:val="00892EA4"/>
    <w:rsid w:val="00893179"/>
    <w:rsid w:val="00894368"/>
    <w:rsid w:val="008948BF"/>
    <w:rsid w:val="00894DB2"/>
    <w:rsid w:val="008959EA"/>
    <w:rsid w:val="00895E0E"/>
    <w:rsid w:val="0089645C"/>
    <w:rsid w:val="0089661F"/>
    <w:rsid w:val="008967CF"/>
    <w:rsid w:val="008968F0"/>
    <w:rsid w:val="00897CAB"/>
    <w:rsid w:val="00897D42"/>
    <w:rsid w:val="008A0897"/>
    <w:rsid w:val="008A36B9"/>
    <w:rsid w:val="008A3E71"/>
    <w:rsid w:val="008A4365"/>
    <w:rsid w:val="008A4409"/>
    <w:rsid w:val="008A4BCF"/>
    <w:rsid w:val="008A4F77"/>
    <w:rsid w:val="008A54A9"/>
    <w:rsid w:val="008A59EE"/>
    <w:rsid w:val="008A5BF8"/>
    <w:rsid w:val="008A5F32"/>
    <w:rsid w:val="008A6272"/>
    <w:rsid w:val="008A68C8"/>
    <w:rsid w:val="008A6B5B"/>
    <w:rsid w:val="008A6E5C"/>
    <w:rsid w:val="008A7803"/>
    <w:rsid w:val="008B0636"/>
    <w:rsid w:val="008B13ED"/>
    <w:rsid w:val="008B16DC"/>
    <w:rsid w:val="008B1708"/>
    <w:rsid w:val="008B1BEC"/>
    <w:rsid w:val="008B1F50"/>
    <w:rsid w:val="008B205E"/>
    <w:rsid w:val="008B30FB"/>
    <w:rsid w:val="008B31ED"/>
    <w:rsid w:val="008B4BFC"/>
    <w:rsid w:val="008B4F49"/>
    <w:rsid w:val="008B5A9B"/>
    <w:rsid w:val="008B6423"/>
    <w:rsid w:val="008B728B"/>
    <w:rsid w:val="008B729A"/>
    <w:rsid w:val="008C037F"/>
    <w:rsid w:val="008C1057"/>
    <w:rsid w:val="008C2688"/>
    <w:rsid w:val="008C2A13"/>
    <w:rsid w:val="008C2A71"/>
    <w:rsid w:val="008C318E"/>
    <w:rsid w:val="008C3C16"/>
    <w:rsid w:val="008C4622"/>
    <w:rsid w:val="008C4AE6"/>
    <w:rsid w:val="008C63D7"/>
    <w:rsid w:val="008C68A7"/>
    <w:rsid w:val="008D0A06"/>
    <w:rsid w:val="008D0FB4"/>
    <w:rsid w:val="008D10C8"/>
    <w:rsid w:val="008D14F9"/>
    <w:rsid w:val="008D2239"/>
    <w:rsid w:val="008D23F1"/>
    <w:rsid w:val="008D2ECB"/>
    <w:rsid w:val="008D30B4"/>
    <w:rsid w:val="008D351A"/>
    <w:rsid w:val="008D3DE3"/>
    <w:rsid w:val="008D445C"/>
    <w:rsid w:val="008D4532"/>
    <w:rsid w:val="008D51A7"/>
    <w:rsid w:val="008D6458"/>
    <w:rsid w:val="008D6516"/>
    <w:rsid w:val="008D724D"/>
    <w:rsid w:val="008D769A"/>
    <w:rsid w:val="008D7B0D"/>
    <w:rsid w:val="008E0216"/>
    <w:rsid w:val="008E0EB4"/>
    <w:rsid w:val="008E266D"/>
    <w:rsid w:val="008E26C1"/>
    <w:rsid w:val="008E28CE"/>
    <w:rsid w:val="008E387A"/>
    <w:rsid w:val="008E3A65"/>
    <w:rsid w:val="008E4244"/>
    <w:rsid w:val="008E4AD7"/>
    <w:rsid w:val="008E5F61"/>
    <w:rsid w:val="008E76E3"/>
    <w:rsid w:val="008F018E"/>
    <w:rsid w:val="008F049C"/>
    <w:rsid w:val="008F0CEF"/>
    <w:rsid w:val="008F126B"/>
    <w:rsid w:val="008F13D0"/>
    <w:rsid w:val="008F1737"/>
    <w:rsid w:val="008F2AA5"/>
    <w:rsid w:val="008F3851"/>
    <w:rsid w:val="008F3BB8"/>
    <w:rsid w:val="008F3EFB"/>
    <w:rsid w:val="008F527C"/>
    <w:rsid w:val="008F5ADD"/>
    <w:rsid w:val="008F625A"/>
    <w:rsid w:val="008F6728"/>
    <w:rsid w:val="008F6885"/>
    <w:rsid w:val="008F6A5B"/>
    <w:rsid w:val="008F6A7A"/>
    <w:rsid w:val="008F7166"/>
    <w:rsid w:val="008F72FB"/>
    <w:rsid w:val="00900B4C"/>
    <w:rsid w:val="009013AC"/>
    <w:rsid w:val="00901B25"/>
    <w:rsid w:val="0090238C"/>
    <w:rsid w:val="00903B88"/>
    <w:rsid w:val="009044E9"/>
    <w:rsid w:val="0090455D"/>
    <w:rsid w:val="00904E60"/>
    <w:rsid w:val="00904F64"/>
    <w:rsid w:val="009058B2"/>
    <w:rsid w:val="00905A3E"/>
    <w:rsid w:val="009061FF"/>
    <w:rsid w:val="00907AA1"/>
    <w:rsid w:val="00907C6C"/>
    <w:rsid w:val="00907DA8"/>
    <w:rsid w:val="009108F3"/>
    <w:rsid w:val="009112B5"/>
    <w:rsid w:val="00911E77"/>
    <w:rsid w:val="00912AFE"/>
    <w:rsid w:val="00912B35"/>
    <w:rsid w:val="00912E74"/>
    <w:rsid w:val="009131A4"/>
    <w:rsid w:val="009134DF"/>
    <w:rsid w:val="0091394A"/>
    <w:rsid w:val="009146CC"/>
    <w:rsid w:val="009155A2"/>
    <w:rsid w:val="00915D14"/>
    <w:rsid w:val="00916048"/>
    <w:rsid w:val="00916166"/>
    <w:rsid w:val="009179E4"/>
    <w:rsid w:val="00921815"/>
    <w:rsid w:val="00923154"/>
    <w:rsid w:val="009238BD"/>
    <w:rsid w:val="00924ABF"/>
    <w:rsid w:val="009254E2"/>
    <w:rsid w:val="00926968"/>
    <w:rsid w:val="00927F4B"/>
    <w:rsid w:val="0093083A"/>
    <w:rsid w:val="00930A97"/>
    <w:rsid w:val="00930B15"/>
    <w:rsid w:val="00930E9A"/>
    <w:rsid w:val="0093201B"/>
    <w:rsid w:val="00932AF1"/>
    <w:rsid w:val="009334C1"/>
    <w:rsid w:val="00933F99"/>
    <w:rsid w:val="00934042"/>
    <w:rsid w:val="0093434B"/>
    <w:rsid w:val="0093541F"/>
    <w:rsid w:val="009355BB"/>
    <w:rsid w:val="00936B1A"/>
    <w:rsid w:val="00936C75"/>
    <w:rsid w:val="009372DF"/>
    <w:rsid w:val="009373F1"/>
    <w:rsid w:val="009375C5"/>
    <w:rsid w:val="0094084D"/>
    <w:rsid w:val="009408EB"/>
    <w:rsid w:val="00941425"/>
    <w:rsid w:val="00941D75"/>
    <w:rsid w:val="00941E45"/>
    <w:rsid w:val="00942A90"/>
    <w:rsid w:val="00942CF3"/>
    <w:rsid w:val="00943034"/>
    <w:rsid w:val="009430AA"/>
    <w:rsid w:val="009430E0"/>
    <w:rsid w:val="009431E9"/>
    <w:rsid w:val="00943313"/>
    <w:rsid w:val="009433F4"/>
    <w:rsid w:val="00943F57"/>
    <w:rsid w:val="0094428A"/>
    <w:rsid w:val="009444D3"/>
    <w:rsid w:val="009444FF"/>
    <w:rsid w:val="00944BF6"/>
    <w:rsid w:val="00945B92"/>
    <w:rsid w:val="009468E0"/>
    <w:rsid w:val="009469B6"/>
    <w:rsid w:val="00947207"/>
    <w:rsid w:val="00947CF6"/>
    <w:rsid w:val="00950B6E"/>
    <w:rsid w:val="00950D48"/>
    <w:rsid w:val="00952E41"/>
    <w:rsid w:val="00954796"/>
    <w:rsid w:val="00955DFD"/>
    <w:rsid w:val="0095688F"/>
    <w:rsid w:val="00957127"/>
    <w:rsid w:val="00960343"/>
    <w:rsid w:val="00960F1D"/>
    <w:rsid w:val="0096193C"/>
    <w:rsid w:val="00961B0F"/>
    <w:rsid w:val="00961C1B"/>
    <w:rsid w:val="00961DE2"/>
    <w:rsid w:val="00962386"/>
    <w:rsid w:val="00963654"/>
    <w:rsid w:val="009651BF"/>
    <w:rsid w:val="00965A84"/>
    <w:rsid w:val="00966259"/>
    <w:rsid w:val="0096672F"/>
    <w:rsid w:val="00966A6E"/>
    <w:rsid w:val="00970951"/>
    <w:rsid w:val="0097146F"/>
    <w:rsid w:val="00971A06"/>
    <w:rsid w:val="0097216A"/>
    <w:rsid w:val="009726A1"/>
    <w:rsid w:val="00973CDD"/>
    <w:rsid w:val="00973F48"/>
    <w:rsid w:val="009749F4"/>
    <w:rsid w:val="00975FCA"/>
    <w:rsid w:val="0097682C"/>
    <w:rsid w:val="0098037A"/>
    <w:rsid w:val="00980ACB"/>
    <w:rsid w:val="009824FE"/>
    <w:rsid w:val="00982F9F"/>
    <w:rsid w:val="00983357"/>
    <w:rsid w:val="009838F2"/>
    <w:rsid w:val="00983E7D"/>
    <w:rsid w:val="00984B17"/>
    <w:rsid w:val="00986379"/>
    <w:rsid w:val="0098638D"/>
    <w:rsid w:val="00987B2B"/>
    <w:rsid w:val="00987D18"/>
    <w:rsid w:val="0099005A"/>
    <w:rsid w:val="009904A9"/>
    <w:rsid w:val="00990A79"/>
    <w:rsid w:val="0099175A"/>
    <w:rsid w:val="009918DD"/>
    <w:rsid w:val="0099216E"/>
    <w:rsid w:val="0099226F"/>
    <w:rsid w:val="00992699"/>
    <w:rsid w:val="00993176"/>
    <w:rsid w:val="00993550"/>
    <w:rsid w:val="009935D3"/>
    <w:rsid w:val="00994C40"/>
    <w:rsid w:val="00995531"/>
    <w:rsid w:val="00996949"/>
    <w:rsid w:val="00996FBD"/>
    <w:rsid w:val="009A02AA"/>
    <w:rsid w:val="009A0402"/>
    <w:rsid w:val="009A05D1"/>
    <w:rsid w:val="009A0E9F"/>
    <w:rsid w:val="009A2D50"/>
    <w:rsid w:val="009A4A31"/>
    <w:rsid w:val="009A4E4B"/>
    <w:rsid w:val="009A5107"/>
    <w:rsid w:val="009A5AC5"/>
    <w:rsid w:val="009A5B6D"/>
    <w:rsid w:val="009A60CB"/>
    <w:rsid w:val="009A6AF2"/>
    <w:rsid w:val="009A6D6A"/>
    <w:rsid w:val="009A7435"/>
    <w:rsid w:val="009A7B5C"/>
    <w:rsid w:val="009A7D73"/>
    <w:rsid w:val="009A7FC7"/>
    <w:rsid w:val="009B02C5"/>
    <w:rsid w:val="009B0685"/>
    <w:rsid w:val="009B078D"/>
    <w:rsid w:val="009B0C1D"/>
    <w:rsid w:val="009B16E3"/>
    <w:rsid w:val="009B18F4"/>
    <w:rsid w:val="009B1C9D"/>
    <w:rsid w:val="009B23A4"/>
    <w:rsid w:val="009B24B9"/>
    <w:rsid w:val="009B27FA"/>
    <w:rsid w:val="009B32B4"/>
    <w:rsid w:val="009B3376"/>
    <w:rsid w:val="009B3FE2"/>
    <w:rsid w:val="009B5AC2"/>
    <w:rsid w:val="009B5AC6"/>
    <w:rsid w:val="009B628A"/>
    <w:rsid w:val="009B65C4"/>
    <w:rsid w:val="009B6DE4"/>
    <w:rsid w:val="009B7322"/>
    <w:rsid w:val="009B7EA8"/>
    <w:rsid w:val="009C0260"/>
    <w:rsid w:val="009C0C18"/>
    <w:rsid w:val="009C208C"/>
    <w:rsid w:val="009C2B1F"/>
    <w:rsid w:val="009C3196"/>
    <w:rsid w:val="009C35BE"/>
    <w:rsid w:val="009C37E6"/>
    <w:rsid w:val="009C3972"/>
    <w:rsid w:val="009C445F"/>
    <w:rsid w:val="009C4C51"/>
    <w:rsid w:val="009C5186"/>
    <w:rsid w:val="009C5762"/>
    <w:rsid w:val="009C5CDE"/>
    <w:rsid w:val="009C6135"/>
    <w:rsid w:val="009C6A15"/>
    <w:rsid w:val="009C6C5F"/>
    <w:rsid w:val="009C76AA"/>
    <w:rsid w:val="009C76D1"/>
    <w:rsid w:val="009C7B1C"/>
    <w:rsid w:val="009D064C"/>
    <w:rsid w:val="009D0DE0"/>
    <w:rsid w:val="009D325F"/>
    <w:rsid w:val="009D4A2E"/>
    <w:rsid w:val="009D506F"/>
    <w:rsid w:val="009D6276"/>
    <w:rsid w:val="009D6E48"/>
    <w:rsid w:val="009D7FDB"/>
    <w:rsid w:val="009E17E8"/>
    <w:rsid w:val="009E1D7E"/>
    <w:rsid w:val="009E255F"/>
    <w:rsid w:val="009E261A"/>
    <w:rsid w:val="009E26CE"/>
    <w:rsid w:val="009E2DEA"/>
    <w:rsid w:val="009E341D"/>
    <w:rsid w:val="009E58A3"/>
    <w:rsid w:val="009E64DB"/>
    <w:rsid w:val="009E69B1"/>
    <w:rsid w:val="009E6A5A"/>
    <w:rsid w:val="009E7317"/>
    <w:rsid w:val="009F04D3"/>
    <w:rsid w:val="009F0D4A"/>
    <w:rsid w:val="009F0EAB"/>
    <w:rsid w:val="009F179A"/>
    <w:rsid w:val="009F1928"/>
    <w:rsid w:val="009F1A0C"/>
    <w:rsid w:val="009F2536"/>
    <w:rsid w:val="009F2AAC"/>
    <w:rsid w:val="009F2E23"/>
    <w:rsid w:val="009F4092"/>
    <w:rsid w:val="009F4426"/>
    <w:rsid w:val="009F47C5"/>
    <w:rsid w:val="009F4D81"/>
    <w:rsid w:val="009F6081"/>
    <w:rsid w:val="009F6EAA"/>
    <w:rsid w:val="009F72E9"/>
    <w:rsid w:val="009F7EC6"/>
    <w:rsid w:val="00A01958"/>
    <w:rsid w:val="00A02240"/>
    <w:rsid w:val="00A023CE"/>
    <w:rsid w:val="00A02C97"/>
    <w:rsid w:val="00A0415F"/>
    <w:rsid w:val="00A050AC"/>
    <w:rsid w:val="00A06990"/>
    <w:rsid w:val="00A06F38"/>
    <w:rsid w:val="00A073C1"/>
    <w:rsid w:val="00A07ACA"/>
    <w:rsid w:val="00A10EE6"/>
    <w:rsid w:val="00A10F84"/>
    <w:rsid w:val="00A11152"/>
    <w:rsid w:val="00A11762"/>
    <w:rsid w:val="00A126A3"/>
    <w:rsid w:val="00A12AE3"/>
    <w:rsid w:val="00A13289"/>
    <w:rsid w:val="00A13623"/>
    <w:rsid w:val="00A13C4D"/>
    <w:rsid w:val="00A15100"/>
    <w:rsid w:val="00A15FFE"/>
    <w:rsid w:val="00A16AB3"/>
    <w:rsid w:val="00A16CAB"/>
    <w:rsid w:val="00A16F9C"/>
    <w:rsid w:val="00A174B6"/>
    <w:rsid w:val="00A174F8"/>
    <w:rsid w:val="00A17880"/>
    <w:rsid w:val="00A178F2"/>
    <w:rsid w:val="00A1796B"/>
    <w:rsid w:val="00A17B8F"/>
    <w:rsid w:val="00A20590"/>
    <w:rsid w:val="00A224B3"/>
    <w:rsid w:val="00A229AF"/>
    <w:rsid w:val="00A22FEA"/>
    <w:rsid w:val="00A231C0"/>
    <w:rsid w:val="00A2352F"/>
    <w:rsid w:val="00A23748"/>
    <w:rsid w:val="00A24393"/>
    <w:rsid w:val="00A255BD"/>
    <w:rsid w:val="00A26E23"/>
    <w:rsid w:val="00A272C0"/>
    <w:rsid w:val="00A27525"/>
    <w:rsid w:val="00A27E86"/>
    <w:rsid w:val="00A309BA"/>
    <w:rsid w:val="00A31776"/>
    <w:rsid w:val="00A32B8C"/>
    <w:rsid w:val="00A33390"/>
    <w:rsid w:val="00A356E3"/>
    <w:rsid w:val="00A362AC"/>
    <w:rsid w:val="00A3647A"/>
    <w:rsid w:val="00A36966"/>
    <w:rsid w:val="00A36E98"/>
    <w:rsid w:val="00A37E70"/>
    <w:rsid w:val="00A4264A"/>
    <w:rsid w:val="00A43B87"/>
    <w:rsid w:val="00A45132"/>
    <w:rsid w:val="00A4515F"/>
    <w:rsid w:val="00A45329"/>
    <w:rsid w:val="00A45AA5"/>
    <w:rsid w:val="00A45AD3"/>
    <w:rsid w:val="00A46DDB"/>
    <w:rsid w:val="00A47A07"/>
    <w:rsid w:val="00A47A40"/>
    <w:rsid w:val="00A50C55"/>
    <w:rsid w:val="00A51063"/>
    <w:rsid w:val="00A528F1"/>
    <w:rsid w:val="00A533EF"/>
    <w:rsid w:val="00A53B82"/>
    <w:rsid w:val="00A54A55"/>
    <w:rsid w:val="00A558D8"/>
    <w:rsid w:val="00A55BD0"/>
    <w:rsid w:val="00A56F90"/>
    <w:rsid w:val="00A60540"/>
    <w:rsid w:val="00A605F8"/>
    <w:rsid w:val="00A61077"/>
    <w:rsid w:val="00A64464"/>
    <w:rsid w:val="00A64A3D"/>
    <w:rsid w:val="00A64F51"/>
    <w:rsid w:val="00A6585E"/>
    <w:rsid w:val="00A65FA2"/>
    <w:rsid w:val="00A66205"/>
    <w:rsid w:val="00A66384"/>
    <w:rsid w:val="00A66A18"/>
    <w:rsid w:val="00A66DE7"/>
    <w:rsid w:val="00A6774A"/>
    <w:rsid w:val="00A6784E"/>
    <w:rsid w:val="00A67AE8"/>
    <w:rsid w:val="00A67FC6"/>
    <w:rsid w:val="00A709E3"/>
    <w:rsid w:val="00A714AD"/>
    <w:rsid w:val="00A72056"/>
    <w:rsid w:val="00A72F3D"/>
    <w:rsid w:val="00A73109"/>
    <w:rsid w:val="00A73EB9"/>
    <w:rsid w:val="00A74577"/>
    <w:rsid w:val="00A74626"/>
    <w:rsid w:val="00A74FF3"/>
    <w:rsid w:val="00A75109"/>
    <w:rsid w:val="00A7539D"/>
    <w:rsid w:val="00A7686F"/>
    <w:rsid w:val="00A76C2D"/>
    <w:rsid w:val="00A7759C"/>
    <w:rsid w:val="00A801D0"/>
    <w:rsid w:val="00A817A8"/>
    <w:rsid w:val="00A81940"/>
    <w:rsid w:val="00A82D3E"/>
    <w:rsid w:val="00A83155"/>
    <w:rsid w:val="00A83B04"/>
    <w:rsid w:val="00A83BEE"/>
    <w:rsid w:val="00A84433"/>
    <w:rsid w:val="00A84DA0"/>
    <w:rsid w:val="00A85073"/>
    <w:rsid w:val="00A85C0D"/>
    <w:rsid w:val="00A86DBA"/>
    <w:rsid w:val="00A8734B"/>
    <w:rsid w:val="00A875DC"/>
    <w:rsid w:val="00A87BC8"/>
    <w:rsid w:val="00A9007B"/>
    <w:rsid w:val="00A904B4"/>
    <w:rsid w:val="00A90AFF"/>
    <w:rsid w:val="00A90B5B"/>
    <w:rsid w:val="00A90DFA"/>
    <w:rsid w:val="00A910AC"/>
    <w:rsid w:val="00A91952"/>
    <w:rsid w:val="00A9245B"/>
    <w:rsid w:val="00A93950"/>
    <w:rsid w:val="00A93ABB"/>
    <w:rsid w:val="00A94507"/>
    <w:rsid w:val="00A94F53"/>
    <w:rsid w:val="00A954BD"/>
    <w:rsid w:val="00A956D7"/>
    <w:rsid w:val="00A95D10"/>
    <w:rsid w:val="00A965EC"/>
    <w:rsid w:val="00AA0473"/>
    <w:rsid w:val="00AA146F"/>
    <w:rsid w:val="00AA18DD"/>
    <w:rsid w:val="00AA1FF6"/>
    <w:rsid w:val="00AA20EC"/>
    <w:rsid w:val="00AA3B7B"/>
    <w:rsid w:val="00AA4B01"/>
    <w:rsid w:val="00AA5153"/>
    <w:rsid w:val="00AA59E7"/>
    <w:rsid w:val="00AA657D"/>
    <w:rsid w:val="00AA6582"/>
    <w:rsid w:val="00AA76CC"/>
    <w:rsid w:val="00AA7844"/>
    <w:rsid w:val="00AB01EE"/>
    <w:rsid w:val="00AB0571"/>
    <w:rsid w:val="00AB0B6C"/>
    <w:rsid w:val="00AB0E66"/>
    <w:rsid w:val="00AB1620"/>
    <w:rsid w:val="00AB1C5C"/>
    <w:rsid w:val="00AB1EE7"/>
    <w:rsid w:val="00AB1F8D"/>
    <w:rsid w:val="00AB4A04"/>
    <w:rsid w:val="00AB4BC3"/>
    <w:rsid w:val="00AB4C00"/>
    <w:rsid w:val="00AB4C73"/>
    <w:rsid w:val="00AB4F2A"/>
    <w:rsid w:val="00AB4FE2"/>
    <w:rsid w:val="00AB52C5"/>
    <w:rsid w:val="00AB52CA"/>
    <w:rsid w:val="00AB59F6"/>
    <w:rsid w:val="00AB5DF9"/>
    <w:rsid w:val="00AB6622"/>
    <w:rsid w:val="00AB7611"/>
    <w:rsid w:val="00AB7A6B"/>
    <w:rsid w:val="00AB7BFF"/>
    <w:rsid w:val="00AC114F"/>
    <w:rsid w:val="00AC1251"/>
    <w:rsid w:val="00AC1BFB"/>
    <w:rsid w:val="00AC3985"/>
    <w:rsid w:val="00AC3D94"/>
    <w:rsid w:val="00AC67F4"/>
    <w:rsid w:val="00AC6FC9"/>
    <w:rsid w:val="00AC7AF2"/>
    <w:rsid w:val="00AC7D60"/>
    <w:rsid w:val="00AD0357"/>
    <w:rsid w:val="00AD186A"/>
    <w:rsid w:val="00AD1BC5"/>
    <w:rsid w:val="00AD1DE2"/>
    <w:rsid w:val="00AD1F1A"/>
    <w:rsid w:val="00AD2005"/>
    <w:rsid w:val="00AD4EDC"/>
    <w:rsid w:val="00AD680A"/>
    <w:rsid w:val="00AD6882"/>
    <w:rsid w:val="00AD73AF"/>
    <w:rsid w:val="00AD7740"/>
    <w:rsid w:val="00AE142E"/>
    <w:rsid w:val="00AE1AA9"/>
    <w:rsid w:val="00AE208A"/>
    <w:rsid w:val="00AE35AE"/>
    <w:rsid w:val="00AE4037"/>
    <w:rsid w:val="00AE489C"/>
    <w:rsid w:val="00AE4BAB"/>
    <w:rsid w:val="00AE4C09"/>
    <w:rsid w:val="00AE7531"/>
    <w:rsid w:val="00AE79DC"/>
    <w:rsid w:val="00AF0096"/>
    <w:rsid w:val="00AF042B"/>
    <w:rsid w:val="00AF312A"/>
    <w:rsid w:val="00AF325E"/>
    <w:rsid w:val="00AF3406"/>
    <w:rsid w:val="00AF347B"/>
    <w:rsid w:val="00AF34FD"/>
    <w:rsid w:val="00AF3F4B"/>
    <w:rsid w:val="00AF44F1"/>
    <w:rsid w:val="00AF4CED"/>
    <w:rsid w:val="00AF6FAD"/>
    <w:rsid w:val="00AF7836"/>
    <w:rsid w:val="00B0028F"/>
    <w:rsid w:val="00B00EA0"/>
    <w:rsid w:val="00B01625"/>
    <w:rsid w:val="00B01CBB"/>
    <w:rsid w:val="00B024D3"/>
    <w:rsid w:val="00B0494B"/>
    <w:rsid w:val="00B05872"/>
    <w:rsid w:val="00B06094"/>
    <w:rsid w:val="00B066EC"/>
    <w:rsid w:val="00B07150"/>
    <w:rsid w:val="00B07C54"/>
    <w:rsid w:val="00B1136C"/>
    <w:rsid w:val="00B11ED9"/>
    <w:rsid w:val="00B12C8D"/>
    <w:rsid w:val="00B1436F"/>
    <w:rsid w:val="00B1445F"/>
    <w:rsid w:val="00B148A1"/>
    <w:rsid w:val="00B14E5C"/>
    <w:rsid w:val="00B1590B"/>
    <w:rsid w:val="00B15A60"/>
    <w:rsid w:val="00B16082"/>
    <w:rsid w:val="00B16863"/>
    <w:rsid w:val="00B16A79"/>
    <w:rsid w:val="00B20EB2"/>
    <w:rsid w:val="00B21476"/>
    <w:rsid w:val="00B215AC"/>
    <w:rsid w:val="00B218B3"/>
    <w:rsid w:val="00B2196B"/>
    <w:rsid w:val="00B24A93"/>
    <w:rsid w:val="00B25ABC"/>
    <w:rsid w:val="00B26681"/>
    <w:rsid w:val="00B26C1E"/>
    <w:rsid w:val="00B30D32"/>
    <w:rsid w:val="00B3166C"/>
    <w:rsid w:val="00B330A2"/>
    <w:rsid w:val="00B33BE4"/>
    <w:rsid w:val="00B34CF7"/>
    <w:rsid w:val="00B34D6F"/>
    <w:rsid w:val="00B353F7"/>
    <w:rsid w:val="00B358ED"/>
    <w:rsid w:val="00B36C90"/>
    <w:rsid w:val="00B37664"/>
    <w:rsid w:val="00B37763"/>
    <w:rsid w:val="00B37ABB"/>
    <w:rsid w:val="00B4021C"/>
    <w:rsid w:val="00B40479"/>
    <w:rsid w:val="00B40D85"/>
    <w:rsid w:val="00B40EE3"/>
    <w:rsid w:val="00B41046"/>
    <w:rsid w:val="00B41A8F"/>
    <w:rsid w:val="00B428A6"/>
    <w:rsid w:val="00B42999"/>
    <w:rsid w:val="00B431EF"/>
    <w:rsid w:val="00B4406D"/>
    <w:rsid w:val="00B45684"/>
    <w:rsid w:val="00B46CCD"/>
    <w:rsid w:val="00B473A7"/>
    <w:rsid w:val="00B4793B"/>
    <w:rsid w:val="00B47D9C"/>
    <w:rsid w:val="00B5010E"/>
    <w:rsid w:val="00B509D5"/>
    <w:rsid w:val="00B51CA4"/>
    <w:rsid w:val="00B521F5"/>
    <w:rsid w:val="00B532ED"/>
    <w:rsid w:val="00B54264"/>
    <w:rsid w:val="00B5495D"/>
    <w:rsid w:val="00B54966"/>
    <w:rsid w:val="00B554E2"/>
    <w:rsid w:val="00B562EE"/>
    <w:rsid w:val="00B56385"/>
    <w:rsid w:val="00B56B58"/>
    <w:rsid w:val="00B56F59"/>
    <w:rsid w:val="00B56FD3"/>
    <w:rsid w:val="00B5779C"/>
    <w:rsid w:val="00B6019E"/>
    <w:rsid w:val="00B60738"/>
    <w:rsid w:val="00B6275E"/>
    <w:rsid w:val="00B62803"/>
    <w:rsid w:val="00B629EE"/>
    <w:rsid w:val="00B62C1C"/>
    <w:rsid w:val="00B62C31"/>
    <w:rsid w:val="00B655E0"/>
    <w:rsid w:val="00B65A77"/>
    <w:rsid w:val="00B660F3"/>
    <w:rsid w:val="00B6620E"/>
    <w:rsid w:val="00B66AB8"/>
    <w:rsid w:val="00B67717"/>
    <w:rsid w:val="00B67AEE"/>
    <w:rsid w:val="00B67D2A"/>
    <w:rsid w:val="00B7017C"/>
    <w:rsid w:val="00B7032A"/>
    <w:rsid w:val="00B7034B"/>
    <w:rsid w:val="00B705EB"/>
    <w:rsid w:val="00B706A1"/>
    <w:rsid w:val="00B71720"/>
    <w:rsid w:val="00B718C6"/>
    <w:rsid w:val="00B71F9B"/>
    <w:rsid w:val="00B721F9"/>
    <w:rsid w:val="00B72407"/>
    <w:rsid w:val="00B72985"/>
    <w:rsid w:val="00B7342C"/>
    <w:rsid w:val="00B73791"/>
    <w:rsid w:val="00B7435B"/>
    <w:rsid w:val="00B7493A"/>
    <w:rsid w:val="00B75023"/>
    <w:rsid w:val="00B75F78"/>
    <w:rsid w:val="00B760AE"/>
    <w:rsid w:val="00B763B4"/>
    <w:rsid w:val="00B77A90"/>
    <w:rsid w:val="00B8015F"/>
    <w:rsid w:val="00B80DD4"/>
    <w:rsid w:val="00B81E19"/>
    <w:rsid w:val="00B81FDC"/>
    <w:rsid w:val="00B82295"/>
    <w:rsid w:val="00B8255C"/>
    <w:rsid w:val="00B8278E"/>
    <w:rsid w:val="00B82FB6"/>
    <w:rsid w:val="00B83252"/>
    <w:rsid w:val="00B83BAE"/>
    <w:rsid w:val="00B83BE7"/>
    <w:rsid w:val="00B83DFF"/>
    <w:rsid w:val="00B84652"/>
    <w:rsid w:val="00B85A1B"/>
    <w:rsid w:val="00B86680"/>
    <w:rsid w:val="00B86CD8"/>
    <w:rsid w:val="00B87836"/>
    <w:rsid w:val="00B87CB0"/>
    <w:rsid w:val="00B904AA"/>
    <w:rsid w:val="00B90714"/>
    <w:rsid w:val="00B90BF7"/>
    <w:rsid w:val="00B91ACA"/>
    <w:rsid w:val="00B91CFE"/>
    <w:rsid w:val="00B939BB"/>
    <w:rsid w:val="00B94168"/>
    <w:rsid w:val="00B94524"/>
    <w:rsid w:val="00B9491E"/>
    <w:rsid w:val="00B94927"/>
    <w:rsid w:val="00B95050"/>
    <w:rsid w:val="00B9600F"/>
    <w:rsid w:val="00B96063"/>
    <w:rsid w:val="00B962C7"/>
    <w:rsid w:val="00B97306"/>
    <w:rsid w:val="00BA0060"/>
    <w:rsid w:val="00BA0062"/>
    <w:rsid w:val="00BA076E"/>
    <w:rsid w:val="00BA082B"/>
    <w:rsid w:val="00BA09B4"/>
    <w:rsid w:val="00BA1572"/>
    <w:rsid w:val="00BA1801"/>
    <w:rsid w:val="00BA1EE8"/>
    <w:rsid w:val="00BA2ADF"/>
    <w:rsid w:val="00BA48A4"/>
    <w:rsid w:val="00BA48E6"/>
    <w:rsid w:val="00BA5799"/>
    <w:rsid w:val="00BA5EC1"/>
    <w:rsid w:val="00BA69CA"/>
    <w:rsid w:val="00BA73D9"/>
    <w:rsid w:val="00BB0575"/>
    <w:rsid w:val="00BB08F4"/>
    <w:rsid w:val="00BB0CFA"/>
    <w:rsid w:val="00BB0F21"/>
    <w:rsid w:val="00BB1844"/>
    <w:rsid w:val="00BB1B26"/>
    <w:rsid w:val="00BB1C1F"/>
    <w:rsid w:val="00BB2BC6"/>
    <w:rsid w:val="00BB3802"/>
    <w:rsid w:val="00BB3D55"/>
    <w:rsid w:val="00BB4928"/>
    <w:rsid w:val="00BB6EA3"/>
    <w:rsid w:val="00BB7003"/>
    <w:rsid w:val="00BB713E"/>
    <w:rsid w:val="00BB725C"/>
    <w:rsid w:val="00BC035E"/>
    <w:rsid w:val="00BC1DF5"/>
    <w:rsid w:val="00BC237F"/>
    <w:rsid w:val="00BC2DC0"/>
    <w:rsid w:val="00BC33D5"/>
    <w:rsid w:val="00BC3A0D"/>
    <w:rsid w:val="00BC3E11"/>
    <w:rsid w:val="00BC49E3"/>
    <w:rsid w:val="00BC4B15"/>
    <w:rsid w:val="00BC51E0"/>
    <w:rsid w:val="00BC56A3"/>
    <w:rsid w:val="00BC5CD9"/>
    <w:rsid w:val="00BC5FB9"/>
    <w:rsid w:val="00BC5FF0"/>
    <w:rsid w:val="00BC6862"/>
    <w:rsid w:val="00BC764B"/>
    <w:rsid w:val="00BD03DE"/>
    <w:rsid w:val="00BD0FC5"/>
    <w:rsid w:val="00BD1886"/>
    <w:rsid w:val="00BD1C10"/>
    <w:rsid w:val="00BD3A4E"/>
    <w:rsid w:val="00BD482F"/>
    <w:rsid w:val="00BD4A98"/>
    <w:rsid w:val="00BD5700"/>
    <w:rsid w:val="00BD5805"/>
    <w:rsid w:val="00BD5C3C"/>
    <w:rsid w:val="00BD618B"/>
    <w:rsid w:val="00BD78D9"/>
    <w:rsid w:val="00BE1290"/>
    <w:rsid w:val="00BE13D5"/>
    <w:rsid w:val="00BE1643"/>
    <w:rsid w:val="00BE1689"/>
    <w:rsid w:val="00BE3808"/>
    <w:rsid w:val="00BE3D63"/>
    <w:rsid w:val="00BE49FE"/>
    <w:rsid w:val="00BE4FA7"/>
    <w:rsid w:val="00BE5147"/>
    <w:rsid w:val="00BE56CD"/>
    <w:rsid w:val="00BE5716"/>
    <w:rsid w:val="00BE7179"/>
    <w:rsid w:val="00BE7FFC"/>
    <w:rsid w:val="00BF00CD"/>
    <w:rsid w:val="00BF1254"/>
    <w:rsid w:val="00BF1558"/>
    <w:rsid w:val="00BF5D40"/>
    <w:rsid w:val="00C011FC"/>
    <w:rsid w:val="00C019BD"/>
    <w:rsid w:val="00C02501"/>
    <w:rsid w:val="00C02E80"/>
    <w:rsid w:val="00C03FB9"/>
    <w:rsid w:val="00C04839"/>
    <w:rsid w:val="00C05EBC"/>
    <w:rsid w:val="00C06603"/>
    <w:rsid w:val="00C077E8"/>
    <w:rsid w:val="00C07F76"/>
    <w:rsid w:val="00C10D54"/>
    <w:rsid w:val="00C1106F"/>
    <w:rsid w:val="00C1258D"/>
    <w:rsid w:val="00C127C8"/>
    <w:rsid w:val="00C1281A"/>
    <w:rsid w:val="00C12D20"/>
    <w:rsid w:val="00C1460E"/>
    <w:rsid w:val="00C14F1B"/>
    <w:rsid w:val="00C154B6"/>
    <w:rsid w:val="00C16E56"/>
    <w:rsid w:val="00C16F81"/>
    <w:rsid w:val="00C17A63"/>
    <w:rsid w:val="00C20109"/>
    <w:rsid w:val="00C20397"/>
    <w:rsid w:val="00C204A9"/>
    <w:rsid w:val="00C20E26"/>
    <w:rsid w:val="00C211FB"/>
    <w:rsid w:val="00C23572"/>
    <w:rsid w:val="00C23877"/>
    <w:rsid w:val="00C23F98"/>
    <w:rsid w:val="00C24577"/>
    <w:rsid w:val="00C24714"/>
    <w:rsid w:val="00C249D6"/>
    <w:rsid w:val="00C273EC"/>
    <w:rsid w:val="00C279A8"/>
    <w:rsid w:val="00C305BE"/>
    <w:rsid w:val="00C30B80"/>
    <w:rsid w:val="00C321C3"/>
    <w:rsid w:val="00C3244F"/>
    <w:rsid w:val="00C33D2E"/>
    <w:rsid w:val="00C3625C"/>
    <w:rsid w:val="00C40879"/>
    <w:rsid w:val="00C43385"/>
    <w:rsid w:val="00C434CC"/>
    <w:rsid w:val="00C44CA1"/>
    <w:rsid w:val="00C45523"/>
    <w:rsid w:val="00C4572B"/>
    <w:rsid w:val="00C460EE"/>
    <w:rsid w:val="00C47AF7"/>
    <w:rsid w:val="00C47C53"/>
    <w:rsid w:val="00C47CAE"/>
    <w:rsid w:val="00C53634"/>
    <w:rsid w:val="00C549F6"/>
    <w:rsid w:val="00C54E60"/>
    <w:rsid w:val="00C55F5C"/>
    <w:rsid w:val="00C56364"/>
    <w:rsid w:val="00C56398"/>
    <w:rsid w:val="00C56938"/>
    <w:rsid w:val="00C57517"/>
    <w:rsid w:val="00C6024C"/>
    <w:rsid w:val="00C60476"/>
    <w:rsid w:val="00C60A31"/>
    <w:rsid w:val="00C61A42"/>
    <w:rsid w:val="00C61C4A"/>
    <w:rsid w:val="00C64691"/>
    <w:rsid w:val="00C64AF1"/>
    <w:rsid w:val="00C663E5"/>
    <w:rsid w:val="00C66A14"/>
    <w:rsid w:val="00C66A22"/>
    <w:rsid w:val="00C66B13"/>
    <w:rsid w:val="00C6775B"/>
    <w:rsid w:val="00C67EF4"/>
    <w:rsid w:val="00C70EB1"/>
    <w:rsid w:val="00C71109"/>
    <w:rsid w:val="00C72A13"/>
    <w:rsid w:val="00C72B7F"/>
    <w:rsid w:val="00C72C48"/>
    <w:rsid w:val="00C7347E"/>
    <w:rsid w:val="00C735EA"/>
    <w:rsid w:val="00C73749"/>
    <w:rsid w:val="00C73754"/>
    <w:rsid w:val="00C752FA"/>
    <w:rsid w:val="00C7537C"/>
    <w:rsid w:val="00C758D2"/>
    <w:rsid w:val="00C75907"/>
    <w:rsid w:val="00C75E5D"/>
    <w:rsid w:val="00C75EEA"/>
    <w:rsid w:val="00C7618B"/>
    <w:rsid w:val="00C76207"/>
    <w:rsid w:val="00C7656E"/>
    <w:rsid w:val="00C77905"/>
    <w:rsid w:val="00C77D8B"/>
    <w:rsid w:val="00C80E0D"/>
    <w:rsid w:val="00C8250D"/>
    <w:rsid w:val="00C82CF0"/>
    <w:rsid w:val="00C84829"/>
    <w:rsid w:val="00C850F4"/>
    <w:rsid w:val="00C85AC4"/>
    <w:rsid w:val="00C860B8"/>
    <w:rsid w:val="00C86B3E"/>
    <w:rsid w:val="00C86B89"/>
    <w:rsid w:val="00C873CB"/>
    <w:rsid w:val="00C8788B"/>
    <w:rsid w:val="00C87FD3"/>
    <w:rsid w:val="00C90B87"/>
    <w:rsid w:val="00C90BAB"/>
    <w:rsid w:val="00C90CAC"/>
    <w:rsid w:val="00C916D3"/>
    <w:rsid w:val="00C91775"/>
    <w:rsid w:val="00C91E6B"/>
    <w:rsid w:val="00C9276E"/>
    <w:rsid w:val="00C92A6C"/>
    <w:rsid w:val="00C92E94"/>
    <w:rsid w:val="00C93057"/>
    <w:rsid w:val="00C938F5"/>
    <w:rsid w:val="00C93E68"/>
    <w:rsid w:val="00C93EF5"/>
    <w:rsid w:val="00C94C1A"/>
    <w:rsid w:val="00C94F48"/>
    <w:rsid w:val="00C956AF"/>
    <w:rsid w:val="00C96588"/>
    <w:rsid w:val="00C97585"/>
    <w:rsid w:val="00C976CF"/>
    <w:rsid w:val="00C97907"/>
    <w:rsid w:val="00C9790E"/>
    <w:rsid w:val="00CA077D"/>
    <w:rsid w:val="00CA08BB"/>
    <w:rsid w:val="00CA08CC"/>
    <w:rsid w:val="00CA1550"/>
    <w:rsid w:val="00CA2133"/>
    <w:rsid w:val="00CA2AD2"/>
    <w:rsid w:val="00CA328A"/>
    <w:rsid w:val="00CA3532"/>
    <w:rsid w:val="00CA3666"/>
    <w:rsid w:val="00CA3BD9"/>
    <w:rsid w:val="00CA408F"/>
    <w:rsid w:val="00CA5446"/>
    <w:rsid w:val="00CA547A"/>
    <w:rsid w:val="00CA5946"/>
    <w:rsid w:val="00CA620F"/>
    <w:rsid w:val="00CA6622"/>
    <w:rsid w:val="00CA6813"/>
    <w:rsid w:val="00CA6B8B"/>
    <w:rsid w:val="00CA706A"/>
    <w:rsid w:val="00CA781D"/>
    <w:rsid w:val="00CB0ED1"/>
    <w:rsid w:val="00CB168A"/>
    <w:rsid w:val="00CB28EF"/>
    <w:rsid w:val="00CB2AC4"/>
    <w:rsid w:val="00CB3503"/>
    <w:rsid w:val="00CB5557"/>
    <w:rsid w:val="00CB63B8"/>
    <w:rsid w:val="00CB663C"/>
    <w:rsid w:val="00CB6F2B"/>
    <w:rsid w:val="00CB7E03"/>
    <w:rsid w:val="00CC089C"/>
    <w:rsid w:val="00CC2215"/>
    <w:rsid w:val="00CC28CB"/>
    <w:rsid w:val="00CC291D"/>
    <w:rsid w:val="00CC30C2"/>
    <w:rsid w:val="00CC31B0"/>
    <w:rsid w:val="00CC3418"/>
    <w:rsid w:val="00CC3677"/>
    <w:rsid w:val="00CC375B"/>
    <w:rsid w:val="00CC4A7A"/>
    <w:rsid w:val="00CC4FC1"/>
    <w:rsid w:val="00CC5AC3"/>
    <w:rsid w:val="00CC6A3F"/>
    <w:rsid w:val="00CC745C"/>
    <w:rsid w:val="00CD028C"/>
    <w:rsid w:val="00CD05F0"/>
    <w:rsid w:val="00CD0FD1"/>
    <w:rsid w:val="00CD13E0"/>
    <w:rsid w:val="00CD3281"/>
    <w:rsid w:val="00CD3C90"/>
    <w:rsid w:val="00CD3F61"/>
    <w:rsid w:val="00CD63DB"/>
    <w:rsid w:val="00CD651D"/>
    <w:rsid w:val="00CD73F7"/>
    <w:rsid w:val="00CD7A0D"/>
    <w:rsid w:val="00CE0837"/>
    <w:rsid w:val="00CE08B2"/>
    <w:rsid w:val="00CE1414"/>
    <w:rsid w:val="00CE1B21"/>
    <w:rsid w:val="00CE1D3D"/>
    <w:rsid w:val="00CE2007"/>
    <w:rsid w:val="00CE2524"/>
    <w:rsid w:val="00CE2B44"/>
    <w:rsid w:val="00CE2C37"/>
    <w:rsid w:val="00CE35D3"/>
    <w:rsid w:val="00CE38C5"/>
    <w:rsid w:val="00CE3A0D"/>
    <w:rsid w:val="00CE3C1C"/>
    <w:rsid w:val="00CE452D"/>
    <w:rsid w:val="00CE4E64"/>
    <w:rsid w:val="00CE5EE3"/>
    <w:rsid w:val="00CE67B5"/>
    <w:rsid w:val="00CE76CC"/>
    <w:rsid w:val="00CF128C"/>
    <w:rsid w:val="00CF18C1"/>
    <w:rsid w:val="00CF1EDA"/>
    <w:rsid w:val="00CF2594"/>
    <w:rsid w:val="00CF2D32"/>
    <w:rsid w:val="00CF2E1E"/>
    <w:rsid w:val="00CF3733"/>
    <w:rsid w:val="00CF3D2E"/>
    <w:rsid w:val="00CF3F5D"/>
    <w:rsid w:val="00CF40F8"/>
    <w:rsid w:val="00CF5616"/>
    <w:rsid w:val="00CF57BB"/>
    <w:rsid w:val="00CF679D"/>
    <w:rsid w:val="00CF6A31"/>
    <w:rsid w:val="00D02516"/>
    <w:rsid w:val="00D0263D"/>
    <w:rsid w:val="00D02E3C"/>
    <w:rsid w:val="00D03BAA"/>
    <w:rsid w:val="00D03BF5"/>
    <w:rsid w:val="00D05FB1"/>
    <w:rsid w:val="00D0782E"/>
    <w:rsid w:val="00D1007C"/>
    <w:rsid w:val="00D101B8"/>
    <w:rsid w:val="00D10434"/>
    <w:rsid w:val="00D1130C"/>
    <w:rsid w:val="00D11DED"/>
    <w:rsid w:val="00D12704"/>
    <w:rsid w:val="00D13752"/>
    <w:rsid w:val="00D1375F"/>
    <w:rsid w:val="00D14FFB"/>
    <w:rsid w:val="00D158E4"/>
    <w:rsid w:val="00D15A6F"/>
    <w:rsid w:val="00D200E4"/>
    <w:rsid w:val="00D21922"/>
    <w:rsid w:val="00D21F2F"/>
    <w:rsid w:val="00D225AD"/>
    <w:rsid w:val="00D2294C"/>
    <w:rsid w:val="00D230F0"/>
    <w:rsid w:val="00D24269"/>
    <w:rsid w:val="00D24310"/>
    <w:rsid w:val="00D24380"/>
    <w:rsid w:val="00D25B14"/>
    <w:rsid w:val="00D260B7"/>
    <w:rsid w:val="00D2651B"/>
    <w:rsid w:val="00D27065"/>
    <w:rsid w:val="00D2797F"/>
    <w:rsid w:val="00D27C65"/>
    <w:rsid w:val="00D27D23"/>
    <w:rsid w:val="00D316A6"/>
    <w:rsid w:val="00D3198B"/>
    <w:rsid w:val="00D33896"/>
    <w:rsid w:val="00D340CB"/>
    <w:rsid w:val="00D34F2F"/>
    <w:rsid w:val="00D36960"/>
    <w:rsid w:val="00D37A8E"/>
    <w:rsid w:val="00D4000C"/>
    <w:rsid w:val="00D4069F"/>
    <w:rsid w:val="00D40847"/>
    <w:rsid w:val="00D40E08"/>
    <w:rsid w:val="00D41771"/>
    <w:rsid w:val="00D41D92"/>
    <w:rsid w:val="00D42A6F"/>
    <w:rsid w:val="00D44004"/>
    <w:rsid w:val="00D4588A"/>
    <w:rsid w:val="00D458E3"/>
    <w:rsid w:val="00D46595"/>
    <w:rsid w:val="00D46C31"/>
    <w:rsid w:val="00D476A0"/>
    <w:rsid w:val="00D50896"/>
    <w:rsid w:val="00D50BF6"/>
    <w:rsid w:val="00D51184"/>
    <w:rsid w:val="00D515ED"/>
    <w:rsid w:val="00D51601"/>
    <w:rsid w:val="00D5199E"/>
    <w:rsid w:val="00D51DF6"/>
    <w:rsid w:val="00D523DA"/>
    <w:rsid w:val="00D53F0F"/>
    <w:rsid w:val="00D544E9"/>
    <w:rsid w:val="00D54DEC"/>
    <w:rsid w:val="00D555DC"/>
    <w:rsid w:val="00D55784"/>
    <w:rsid w:val="00D561EB"/>
    <w:rsid w:val="00D56461"/>
    <w:rsid w:val="00D56819"/>
    <w:rsid w:val="00D56A44"/>
    <w:rsid w:val="00D56BA9"/>
    <w:rsid w:val="00D56F83"/>
    <w:rsid w:val="00D57858"/>
    <w:rsid w:val="00D5788D"/>
    <w:rsid w:val="00D6036E"/>
    <w:rsid w:val="00D607F1"/>
    <w:rsid w:val="00D60A18"/>
    <w:rsid w:val="00D61001"/>
    <w:rsid w:val="00D61477"/>
    <w:rsid w:val="00D61A7C"/>
    <w:rsid w:val="00D62058"/>
    <w:rsid w:val="00D62F0A"/>
    <w:rsid w:val="00D64B9F"/>
    <w:rsid w:val="00D6500D"/>
    <w:rsid w:val="00D6590B"/>
    <w:rsid w:val="00D659B2"/>
    <w:rsid w:val="00D669BC"/>
    <w:rsid w:val="00D67592"/>
    <w:rsid w:val="00D702EA"/>
    <w:rsid w:val="00D711EB"/>
    <w:rsid w:val="00D71330"/>
    <w:rsid w:val="00D71AA5"/>
    <w:rsid w:val="00D724F0"/>
    <w:rsid w:val="00D73D44"/>
    <w:rsid w:val="00D741BD"/>
    <w:rsid w:val="00D74213"/>
    <w:rsid w:val="00D7430A"/>
    <w:rsid w:val="00D74960"/>
    <w:rsid w:val="00D754C7"/>
    <w:rsid w:val="00D75938"/>
    <w:rsid w:val="00D75AE8"/>
    <w:rsid w:val="00D77072"/>
    <w:rsid w:val="00D7738E"/>
    <w:rsid w:val="00D77D01"/>
    <w:rsid w:val="00D814B3"/>
    <w:rsid w:val="00D81747"/>
    <w:rsid w:val="00D81AA0"/>
    <w:rsid w:val="00D82B20"/>
    <w:rsid w:val="00D82F67"/>
    <w:rsid w:val="00D83D4D"/>
    <w:rsid w:val="00D843A0"/>
    <w:rsid w:val="00D8478C"/>
    <w:rsid w:val="00D85974"/>
    <w:rsid w:val="00D86056"/>
    <w:rsid w:val="00D876D9"/>
    <w:rsid w:val="00D90FE0"/>
    <w:rsid w:val="00D91411"/>
    <w:rsid w:val="00D91630"/>
    <w:rsid w:val="00D91B58"/>
    <w:rsid w:val="00D9265F"/>
    <w:rsid w:val="00D92CC8"/>
    <w:rsid w:val="00D92F80"/>
    <w:rsid w:val="00D9339D"/>
    <w:rsid w:val="00D94AD9"/>
    <w:rsid w:val="00D96701"/>
    <w:rsid w:val="00D976EB"/>
    <w:rsid w:val="00D97957"/>
    <w:rsid w:val="00D97A56"/>
    <w:rsid w:val="00D97B04"/>
    <w:rsid w:val="00DA0DFA"/>
    <w:rsid w:val="00DA1518"/>
    <w:rsid w:val="00DA225B"/>
    <w:rsid w:val="00DA2516"/>
    <w:rsid w:val="00DA3443"/>
    <w:rsid w:val="00DA37D4"/>
    <w:rsid w:val="00DA3FEA"/>
    <w:rsid w:val="00DA4D0B"/>
    <w:rsid w:val="00DA4ED2"/>
    <w:rsid w:val="00DA6063"/>
    <w:rsid w:val="00DA61AB"/>
    <w:rsid w:val="00DA69B9"/>
    <w:rsid w:val="00DA6C4D"/>
    <w:rsid w:val="00DA6FCB"/>
    <w:rsid w:val="00DB022B"/>
    <w:rsid w:val="00DB087C"/>
    <w:rsid w:val="00DB0F72"/>
    <w:rsid w:val="00DB1650"/>
    <w:rsid w:val="00DB378C"/>
    <w:rsid w:val="00DB41AE"/>
    <w:rsid w:val="00DB43EF"/>
    <w:rsid w:val="00DB4620"/>
    <w:rsid w:val="00DB470E"/>
    <w:rsid w:val="00DB63A0"/>
    <w:rsid w:val="00DB7A08"/>
    <w:rsid w:val="00DC00BF"/>
    <w:rsid w:val="00DC0778"/>
    <w:rsid w:val="00DC1246"/>
    <w:rsid w:val="00DC17CD"/>
    <w:rsid w:val="00DC2C8D"/>
    <w:rsid w:val="00DC2F56"/>
    <w:rsid w:val="00DC3DF1"/>
    <w:rsid w:val="00DC44BE"/>
    <w:rsid w:val="00DC4709"/>
    <w:rsid w:val="00DC4915"/>
    <w:rsid w:val="00DC517C"/>
    <w:rsid w:val="00DC5C82"/>
    <w:rsid w:val="00DC5DEE"/>
    <w:rsid w:val="00DC7463"/>
    <w:rsid w:val="00DD0419"/>
    <w:rsid w:val="00DD05A5"/>
    <w:rsid w:val="00DD069D"/>
    <w:rsid w:val="00DD0DB6"/>
    <w:rsid w:val="00DD0EEF"/>
    <w:rsid w:val="00DD1A4C"/>
    <w:rsid w:val="00DD1D60"/>
    <w:rsid w:val="00DD1EB2"/>
    <w:rsid w:val="00DD1FAE"/>
    <w:rsid w:val="00DD275B"/>
    <w:rsid w:val="00DD2913"/>
    <w:rsid w:val="00DD30C0"/>
    <w:rsid w:val="00DD5695"/>
    <w:rsid w:val="00DD59B0"/>
    <w:rsid w:val="00DD6661"/>
    <w:rsid w:val="00DD66A6"/>
    <w:rsid w:val="00DD6B66"/>
    <w:rsid w:val="00DD70AA"/>
    <w:rsid w:val="00DD7A24"/>
    <w:rsid w:val="00DE0DF9"/>
    <w:rsid w:val="00DE1706"/>
    <w:rsid w:val="00DE1BE2"/>
    <w:rsid w:val="00DE2346"/>
    <w:rsid w:val="00DE2629"/>
    <w:rsid w:val="00DE2812"/>
    <w:rsid w:val="00DE3AA7"/>
    <w:rsid w:val="00DE40C3"/>
    <w:rsid w:val="00DE4EEB"/>
    <w:rsid w:val="00DE50D3"/>
    <w:rsid w:val="00DE536B"/>
    <w:rsid w:val="00DE6E25"/>
    <w:rsid w:val="00DE75CE"/>
    <w:rsid w:val="00DE7996"/>
    <w:rsid w:val="00DF03C9"/>
    <w:rsid w:val="00DF1825"/>
    <w:rsid w:val="00DF18C2"/>
    <w:rsid w:val="00DF1A29"/>
    <w:rsid w:val="00DF1D0A"/>
    <w:rsid w:val="00DF1D99"/>
    <w:rsid w:val="00DF34DD"/>
    <w:rsid w:val="00DF35C3"/>
    <w:rsid w:val="00DF3A05"/>
    <w:rsid w:val="00DF3B22"/>
    <w:rsid w:val="00DF456C"/>
    <w:rsid w:val="00DF4B3C"/>
    <w:rsid w:val="00DF4DC7"/>
    <w:rsid w:val="00DF54AB"/>
    <w:rsid w:val="00DF692A"/>
    <w:rsid w:val="00DF777E"/>
    <w:rsid w:val="00E00D21"/>
    <w:rsid w:val="00E0125A"/>
    <w:rsid w:val="00E02DD8"/>
    <w:rsid w:val="00E04A09"/>
    <w:rsid w:val="00E04B54"/>
    <w:rsid w:val="00E04CE4"/>
    <w:rsid w:val="00E05113"/>
    <w:rsid w:val="00E06313"/>
    <w:rsid w:val="00E06921"/>
    <w:rsid w:val="00E10498"/>
    <w:rsid w:val="00E11D3E"/>
    <w:rsid w:val="00E12CFD"/>
    <w:rsid w:val="00E13487"/>
    <w:rsid w:val="00E145CD"/>
    <w:rsid w:val="00E15131"/>
    <w:rsid w:val="00E153A6"/>
    <w:rsid w:val="00E15A6D"/>
    <w:rsid w:val="00E15A94"/>
    <w:rsid w:val="00E15CDC"/>
    <w:rsid w:val="00E16062"/>
    <w:rsid w:val="00E16C36"/>
    <w:rsid w:val="00E16E88"/>
    <w:rsid w:val="00E17496"/>
    <w:rsid w:val="00E20641"/>
    <w:rsid w:val="00E207EF"/>
    <w:rsid w:val="00E20952"/>
    <w:rsid w:val="00E209FF"/>
    <w:rsid w:val="00E20D5D"/>
    <w:rsid w:val="00E20DF9"/>
    <w:rsid w:val="00E2132D"/>
    <w:rsid w:val="00E226E1"/>
    <w:rsid w:val="00E2297E"/>
    <w:rsid w:val="00E241EF"/>
    <w:rsid w:val="00E244B4"/>
    <w:rsid w:val="00E24F3E"/>
    <w:rsid w:val="00E25016"/>
    <w:rsid w:val="00E25C1A"/>
    <w:rsid w:val="00E25DA6"/>
    <w:rsid w:val="00E26080"/>
    <w:rsid w:val="00E266C7"/>
    <w:rsid w:val="00E2711F"/>
    <w:rsid w:val="00E27B0F"/>
    <w:rsid w:val="00E27EC7"/>
    <w:rsid w:val="00E31EB5"/>
    <w:rsid w:val="00E32B7D"/>
    <w:rsid w:val="00E32D7A"/>
    <w:rsid w:val="00E33E9D"/>
    <w:rsid w:val="00E33EDC"/>
    <w:rsid w:val="00E33F6F"/>
    <w:rsid w:val="00E34057"/>
    <w:rsid w:val="00E363B9"/>
    <w:rsid w:val="00E36441"/>
    <w:rsid w:val="00E370C0"/>
    <w:rsid w:val="00E40C99"/>
    <w:rsid w:val="00E419BF"/>
    <w:rsid w:val="00E42D39"/>
    <w:rsid w:val="00E43259"/>
    <w:rsid w:val="00E4366E"/>
    <w:rsid w:val="00E46412"/>
    <w:rsid w:val="00E46800"/>
    <w:rsid w:val="00E470B3"/>
    <w:rsid w:val="00E47AF6"/>
    <w:rsid w:val="00E47F0D"/>
    <w:rsid w:val="00E5120D"/>
    <w:rsid w:val="00E538ED"/>
    <w:rsid w:val="00E548B5"/>
    <w:rsid w:val="00E54A8D"/>
    <w:rsid w:val="00E552D2"/>
    <w:rsid w:val="00E55AD7"/>
    <w:rsid w:val="00E55FC8"/>
    <w:rsid w:val="00E560E4"/>
    <w:rsid w:val="00E57F46"/>
    <w:rsid w:val="00E60568"/>
    <w:rsid w:val="00E6078C"/>
    <w:rsid w:val="00E60D3C"/>
    <w:rsid w:val="00E62388"/>
    <w:rsid w:val="00E6254E"/>
    <w:rsid w:val="00E62C69"/>
    <w:rsid w:val="00E635C4"/>
    <w:rsid w:val="00E6506C"/>
    <w:rsid w:val="00E652CD"/>
    <w:rsid w:val="00E6545A"/>
    <w:rsid w:val="00E656AD"/>
    <w:rsid w:val="00E65C27"/>
    <w:rsid w:val="00E661CB"/>
    <w:rsid w:val="00E668A7"/>
    <w:rsid w:val="00E6716F"/>
    <w:rsid w:val="00E70CDC"/>
    <w:rsid w:val="00E71516"/>
    <w:rsid w:val="00E71967"/>
    <w:rsid w:val="00E7447B"/>
    <w:rsid w:val="00E74BD8"/>
    <w:rsid w:val="00E76402"/>
    <w:rsid w:val="00E77B05"/>
    <w:rsid w:val="00E8029B"/>
    <w:rsid w:val="00E80623"/>
    <w:rsid w:val="00E8120B"/>
    <w:rsid w:val="00E82B9B"/>
    <w:rsid w:val="00E83938"/>
    <w:rsid w:val="00E84633"/>
    <w:rsid w:val="00E84B8B"/>
    <w:rsid w:val="00E84C5A"/>
    <w:rsid w:val="00E84F54"/>
    <w:rsid w:val="00E857E1"/>
    <w:rsid w:val="00E86151"/>
    <w:rsid w:val="00E87353"/>
    <w:rsid w:val="00E87793"/>
    <w:rsid w:val="00E902BE"/>
    <w:rsid w:val="00E907B1"/>
    <w:rsid w:val="00E90A67"/>
    <w:rsid w:val="00E90F75"/>
    <w:rsid w:val="00E9146E"/>
    <w:rsid w:val="00E9197D"/>
    <w:rsid w:val="00E9338B"/>
    <w:rsid w:val="00E93445"/>
    <w:rsid w:val="00E94955"/>
    <w:rsid w:val="00E958F0"/>
    <w:rsid w:val="00E95A46"/>
    <w:rsid w:val="00E95BE2"/>
    <w:rsid w:val="00E960F1"/>
    <w:rsid w:val="00E96618"/>
    <w:rsid w:val="00E9693F"/>
    <w:rsid w:val="00E96E61"/>
    <w:rsid w:val="00E972DC"/>
    <w:rsid w:val="00E978F2"/>
    <w:rsid w:val="00E97AD8"/>
    <w:rsid w:val="00EA03DE"/>
    <w:rsid w:val="00EA0F4D"/>
    <w:rsid w:val="00EA196D"/>
    <w:rsid w:val="00EA2665"/>
    <w:rsid w:val="00EA2C98"/>
    <w:rsid w:val="00EA327F"/>
    <w:rsid w:val="00EA3FE1"/>
    <w:rsid w:val="00EA4440"/>
    <w:rsid w:val="00EA460B"/>
    <w:rsid w:val="00EA4CC2"/>
    <w:rsid w:val="00EA5A3C"/>
    <w:rsid w:val="00EA6239"/>
    <w:rsid w:val="00EA71FE"/>
    <w:rsid w:val="00EA7891"/>
    <w:rsid w:val="00EB0692"/>
    <w:rsid w:val="00EB091D"/>
    <w:rsid w:val="00EB0C42"/>
    <w:rsid w:val="00EB0E21"/>
    <w:rsid w:val="00EB2CEE"/>
    <w:rsid w:val="00EB4EF8"/>
    <w:rsid w:val="00EB5DF9"/>
    <w:rsid w:val="00EB5F55"/>
    <w:rsid w:val="00EB63EC"/>
    <w:rsid w:val="00EB70DA"/>
    <w:rsid w:val="00EC0CB7"/>
    <w:rsid w:val="00EC327F"/>
    <w:rsid w:val="00EC36ED"/>
    <w:rsid w:val="00EC5BB7"/>
    <w:rsid w:val="00EC76F4"/>
    <w:rsid w:val="00ED334F"/>
    <w:rsid w:val="00ED371A"/>
    <w:rsid w:val="00ED3AD9"/>
    <w:rsid w:val="00ED4028"/>
    <w:rsid w:val="00ED40F2"/>
    <w:rsid w:val="00ED42B5"/>
    <w:rsid w:val="00ED4557"/>
    <w:rsid w:val="00ED5E27"/>
    <w:rsid w:val="00ED61D1"/>
    <w:rsid w:val="00ED73B1"/>
    <w:rsid w:val="00ED79A1"/>
    <w:rsid w:val="00EE1A26"/>
    <w:rsid w:val="00EE2598"/>
    <w:rsid w:val="00EE30C6"/>
    <w:rsid w:val="00EE37AB"/>
    <w:rsid w:val="00EE4E83"/>
    <w:rsid w:val="00EE565F"/>
    <w:rsid w:val="00EE5C57"/>
    <w:rsid w:val="00EE795C"/>
    <w:rsid w:val="00EF0AF0"/>
    <w:rsid w:val="00EF0B3B"/>
    <w:rsid w:val="00EF19E7"/>
    <w:rsid w:val="00EF2B91"/>
    <w:rsid w:val="00EF2FA7"/>
    <w:rsid w:val="00EF3112"/>
    <w:rsid w:val="00EF388E"/>
    <w:rsid w:val="00EF3D11"/>
    <w:rsid w:val="00EF47D3"/>
    <w:rsid w:val="00EF57E9"/>
    <w:rsid w:val="00EF5915"/>
    <w:rsid w:val="00EF7718"/>
    <w:rsid w:val="00F01150"/>
    <w:rsid w:val="00F019D5"/>
    <w:rsid w:val="00F02213"/>
    <w:rsid w:val="00F0234A"/>
    <w:rsid w:val="00F02551"/>
    <w:rsid w:val="00F02574"/>
    <w:rsid w:val="00F02920"/>
    <w:rsid w:val="00F029DE"/>
    <w:rsid w:val="00F048A8"/>
    <w:rsid w:val="00F0510C"/>
    <w:rsid w:val="00F052B7"/>
    <w:rsid w:val="00F052B8"/>
    <w:rsid w:val="00F06375"/>
    <w:rsid w:val="00F1269F"/>
    <w:rsid w:val="00F12D9F"/>
    <w:rsid w:val="00F13EC9"/>
    <w:rsid w:val="00F15196"/>
    <w:rsid w:val="00F157F3"/>
    <w:rsid w:val="00F15BE6"/>
    <w:rsid w:val="00F16719"/>
    <w:rsid w:val="00F1672E"/>
    <w:rsid w:val="00F17429"/>
    <w:rsid w:val="00F20FF5"/>
    <w:rsid w:val="00F214B4"/>
    <w:rsid w:val="00F21902"/>
    <w:rsid w:val="00F22967"/>
    <w:rsid w:val="00F231EE"/>
    <w:rsid w:val="00F236B4"/>
    <w:rsid w:val="00F24FD5"/>
    <w:rsid w:val="00F2518A"/>
    <w:rsid w:val="00F25ABF"/>
    <w:rsid w:val="00F260A3"/>
    <w:rsid w:val="00F26BD0"/>
    <w:rsid w:val="00F27366"/>
    <w:rsid w:val="00F27A8A"/>
    <w:rsid w:val="00F27B61"/>
    <w:rsid w:val="00F30332"/>
    <w:rsid w:val="00F3035F"/>
    <w:rsid w:val="00F31A9D"/>
    <w:rsid w:val="00F33936"/>
    <w:rsid w:val="00F33CD5"/>
    <w:rsid w:val="00F34A1C"/>
    <w:rsid w:val="00F35364"/>
    <w:rsid w:val="00F378D2"/>
    <w:rsid w:val="00F37DA0"/>
    <w:rsid w:val="00F40AA9"/>
    <w:rsid w:val="00F41656"/>
    <w:rsid w:val="00F419C6"/>
    <w:rsid w:val="00F41DBF"/>
    <w:rsid w:val="00F43E11"/>
    <w:rsid w:val="00F451AE"/>
    <w:rsid w:val="00F45622"/>
    <w:rsid w:val="00F45651"/>
    <w:rsid w:val="00F45900"/>
    <w:rsid w:val="00F46081"/>
    <w:rsid w:val="00F461A3"/>
    <w:rsid w:val="00F46366"/>
    <w:rsid w:val="00F4682D"/>
    <w:rsid w:val="00F470D6"/>
    <w:rsid w:val="00F508F0"/>
    <w:rsid w:val="00F522EE"/>
    <w:rsid w:val="00F52B88"/>
    <w:rsid w:val="00F53532"/>
    <w:rsid w:val="00F541DD"/>
    <w:rsid w:val="00F54D15"/>
    <w:rsid w:val="00F555CD"/>
    <w:rsid w:val="00F55F44"/>
    <w:rsid w:val="00F569B6"/>
    <w:rsid w:val="00F56A36"/>
    <w:rsid w:val="00F603F4"/>
    <w:rsid w:val="00F61F2A"/>
    <w:rsid w:val="00F62F4B"/>
    <w:rsid w:val="00F6377E"/>
    <w:rsid w:val="00F63E45"/>
    <w:rsid w:val="00F64298"/>
    <w:rsid w:val="00F64E4C"/>
    <w:rsid w:val="00F66967"/>
    <w:rsid w:val="00F67131"/>
    <w:rsid w:val="00F6772D"/>
    <w:rsid w:val="00F67F7F"/>
    <w:rsid w:val="00F700DC"/>
    <w:rsid w:val="00F7081C"/>
    <w:rsid w:val="00F70C29"/>
    <w:rsid w:val="00F71776"/>
    <w:rsid w:val="00F71B0A"/>
    <w:rsid w:val="00F71B90"/>
    <w:rsid w:val="00F73474"/>
    <w:rsid w:val="00F739B3"/>
    <w:rsid w:val="00F741E4"/>
    <w:rsid w:val="00F742FF"/>
    <w:rsid w:val="00F74A56"/>
    <w:rsid w:val="00F76891"/>
    <w:rsid w:val="00F77635"/>
    <w:rsid w:val="00F806B9"/>
    <w:rsid w:val="00F811BA"/>
    <w:rsid w:val="00F81599"/>
    <w:rsid w:val="00F81760"/>
    <w:rsid w:val="00F81E59"/>
    <w:rsid w:val="00F81F03"/>
    <w:rsid w:val="00F82730"/>
    <w:rsid w:val="00F8398D"/>
    <w:rsid w:val="00F840D0"/>
    <w:rsid w:val="00F84779"/>
    <w:rsid w:val="00F858D1"/>
    <w:rsid w:val="00F86A96"/>
    <w:rsid w:val="00F872C0"/>
    <w:rsid w:val="00F875DA"/>
    <w:rsid w:val="00F87C22"/>
    <w:rsid w:val="00F9022F"/>
    <w:rsid w:val="00F915C3"/>
    <w:rsid w:val="00F931EE"/>
    <w:rsid w:val="00F93706"/>
    <w:rsid w:val="00F93FE7"/>
    <w:rsid w:val="00F95174"/>
    <w:rsid w:val="00F97218"/>
    <w:rsid w:val="00F9743A"/>
    <w:rsid w:val="00F97B7E"/>
    <w:rsid w:val="00FA0934"/>
    <w:rsid w:val="00FA0F16"/>
    <w:rsid w:val="00FA216C"/>
    <w:rsid w:val="00FA23B6"/>
    <w:rsid w:val="00FA2455"/>
    <w:rsid w:val="00FA29ED"/>
    <w:rsid w:val="00FA29F3"/>
    <w:rsid w:val="00FA3B89"/>
    <w:rsid w:val="00FA4E1F"/>
    <w:rsid w:val="00FA5093"/>
    <w:rsid w:val="00FA5F34"/>
    <w:rsid w:val="00FA6F3D"/>
    <w:rsid w:val="00FB0863"/>
    <w:rsid w:val="00FB1F05"/>
    <w:rsid w:val="00FB242A"/>
    <w:rsid w:val="00FB3174"/>
    <w:rsid w:val="00FB4663"/>
    <w:rsid w:val="00FB4AF4"/>
    <w:rsid w:val="00FB4F61"/>
    <w:rsid w:val="00FB5558"/>
    <w:rsid w:val="00FB6F67"/>
    <w:rsid w:val="00FC0087"/>
    <w:rsid w:val="00FC17EC"/>
    <w:rsid w:val="00FC195E"/>
    <w:rsid w:val="00FC1E43"/>
    <w:rsid w:val="00FC2586"/>
    <w:rsid w:val="00FC3D0E"/>
    <w:rsid w:val="00FC4AE4"/>
    <w:rsid w:val="00FC5284"/>
    <w:rsid w:val="00FC5352"/>
    <w:rsid w:val="00FC55F1"/>
    <w:rsid w:val="00FC63B2"/>
    <w:rsid w:val="00FC6693"/>
    <w:rsid w:val="00FC7155"/>
    <w:rsid w:val="00FD0A27"/>
    <w:rsid w:val="00FD2331"/>
    <w:rsid w:val="00FD27C0"/>
    <w:rsid w:val="00FD299F"/>
    <w:rsid w:val="00FD3B5B"/>
    <w:rsid w:val="00FD3C8C"/>
    <w:rsid w:val="00FD3CC4"/>
    <w:rsid w:val="00FD5802"/>
    <w:rsid w:val="00FD6046"/>
    <w:rsid w:val="00FD614C"/>
    <w:rsid w:val="00FD6904"/>
    <w:rsid w:val="00FD7640"/>
    <w:rsid w:val="00FD7B0D"/>
    <w:rsid w:val="00FD7F77"/>
    <w:rsid w:val="00FE0801"/>
    <w:rsid w:val="00FE0DB4"/>
    <w:rsid w:val="00FE1891"/>
    <w:rsid w:val="00FE1D4F"/>
    <w:rsid w:val="00FE26F0"/>
    <w:rsid w:val="00FE2A0B"/>
    <w:rsid w:val="00FE2D3F"/>
    <w:rsid w:val="00FE357E"/>
    <w:rsid w:val="00FE3A39"/>
    <w:rsid w:val="00FE3F62"/>
    <w:rsid w:val="00FE4E3D"/>
    <w:rsid w:val="00FE593F"/>
    <w:rsid w:val="00FE5F25"/>
    <w:rsid w:val="00FE77E1"/>
    <w:rsid w:val="00FE79C7"/>
    <w:rsid w:val="00FE7C12"/>
    <w:rsid w:val="00FE7F4E"/>
    <w:rsid w:val="00FF32F8"/>
    <w:rsid w:val="00FF548B"/>
    <w:rsid w:val="00FF5FE5"/>
    <w:rsid w:val="00FF6822"/>
    <w:rsid w:val="00FF6C8D"/>
    <w:rsid w:val="00FF76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pacing w:val="30"/>
      <w:sz w:val="24"/>
      <w:szCs w:val="24"/>
    </w:rPr>
  </w:style>
  <w:style w:type="paragraph" w:styleId="2">
    <w:name w:val="heading 2"/>
    <w:basedOn w:val="a"/>
    <w:qFormat/>
    <w:rsid w:val="005A027A"/>
    <w:pPr>
      <w:outlineLvl w:val="1"/>
    </w:pPr>
    <w:rPr>
      <w:b/>
      <w:bCs/>
      <w:color w:val="000000"/>
      <w:spacing w:val="0"/>
      <w:sz w:val="18"/>
      <w:szCs w:val="18"/>
    </w:rPr>
  </w:style>
  <w:style w:type="paragraph" w:styleId="3">
    <w:name w:val="heading 3"/>
    <w:basedOn w:val="a"/>
    <w:next w:val="a"/>
    <w:qFormat/>
    <w:rsid w:val="009F409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E266C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Contemporary"/>
    <w:basedOn w:val="a1"/>
    <w:rsid w:val="00A231C0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0E0E0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styleId="a4">
    <w:name w:val="Hyperlink"/>
    <w:basedOn w:val="a0"/>
    <w:rsid w:val="00583956"/>
    <w:rPr>
      <w:color w:val="0000FF"/>
      <w:u w:val="single"/>
    </w:rPr>
  </w:style>
  <w:style w:type="paragraph" w:styleId="a5">
    <w:name w:val="Normal (Web)"/>
    <w:basedOn w:val="a"/>
    <w:rsid w:val="005A027A"/>
    <w:rPr>
      <w:spacing w:val="0"/>
    </w:rPr>
  </w:style>
  <w:style w:type="paragraph" w:styleId="a6">
    <w:name w:val="footnote text"/>
    <w:basedOn w:val="a"/>
    <w:semiHidden/>
    <w:rsid w:val="00CA2133"/>
    <w:rPr>
      <w:sz w:val="20"/>
      <w:szCs w:val="20"/>
    </w:rPr>
  </w:style>
  <w:style w:type="character" w:styleId="a7">
    <w:name w:val="footnote reference"/>
    <w:basedOn w:val="a0"/>
    <w:semiHidden/>
    <w:rsid w:val="00CA2133"/>
    <w:rPr>
      <w:vertAlign w:val="superscript"/>
    </w:rPr>
  </w:style>
  <w:style w:type="character" w:styleId="HTML">
    <w:name w:val="HTML Cite"/>
    <w:basedOn w:val="a0"/>
    <w:rsid w:val="00226EB8"/>
    <w:rPr>
      <w:i w:val="0"/>
      <w:iCs w:val="0"/>
      <w:color w:val="008000"/>
    </w:rPr>
  </w:style>
  <w:style w:type="character" w:customStyle="1" w:styleId="rvts11">
    <w:name w:val="rvts11"/>
    <w:basedOn w:val="a0"/>
    <w:rsid w:val="00D33896"/>
  </w:style>
  <w:style w:type="table" w:styleId="a8">
    <w:name w:val="Table Grid"/>
    <w:basedOn w:val="a1"/>
    <w:rsid w:val="005E77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qFormat/>
    <w:rsid w:val="00E266C7"/>
    <w:rPr>
      <w:b/>
      <w:bCs/>
    </w:rPr>
  </w:style>
  <w:style w:type="character" w:styleId="aa">
    <w:name w:val="Emphasis"/>
    <w:basedOn w:val="a0"/>
    <w:qFormat/>
    <w:rsid w:val="00E266C7"/>
    <w:rPr>
      <w:i/>
      <w:iCs/>
    </w:rPr>
  </w:style>
  <w:style w:type="paragraph" w:styleId="30">
    <w:name w:val="Body Text 3"/>
    <w:basedOn w:val="a"/>
    <w:rsid w:val="004818B0"/>
    <w:pPr>
      <w:spacing w:after="120"/>
    </w:pPr>
    <w:rPr>
      <w:spacing w:val="0"/>
      <w:sz w:val="16"/>
      <w:szCs w:val="16"/>
    </w:rPr>
  </w:style>
  <w:style w:type="paragraph" w:styleId="ab">
    <w:name w:val="header"/>
    <w:basedOn w:val="a"/>
    <w:link w:val="ac"/>
    <w:uiPriority w:val="99"/>
    <w:rsid w:val="00E15A6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15A6D"/>
    <w:rPr>
      <w:spacing w:val="30"/>
      <w:sz w:val="24"/>
      <w:szCs w:val="24"/>
    </w:rPr>
  </w:style>
  <w:style w:type="paragraph" w:styleId="ad">
    <w:name w:val="footer"/>
    <w:basedOn w:val="a"/>
    <w:link w:val="ae"/>
    <w:rsid w:val="00E15A6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E15A6D"/>
    <w:rPr>
      <w:spacing w:val="30"/>
      <w:sz w:val="24"/>
      <w:szCs w:val="24"/>
    </w:rPr>
  </w:style>
  <w:style w:type="paragraph" w:styleId="af">
    <w:name w:val="Balloon Text"/>
    <w:basedOn w:val="a"/>
    <w:link w:val="af0"/>
    <w:rsid w:val="00E15A6D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E15A6D"/>
    <w:rPr>
      <w:rFonts w:ascii="Tahoma" w:hAnsi="Tahoma" w:cs="Tahoma"/>
      <w:spacing w:val="3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882047">
          <w:marLeft w:val="18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14479">
          <w:marLeft w:val="18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23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4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77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54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24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465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881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80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4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03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41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819555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25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79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82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03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92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591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534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707380">
          <w:marLeft w:val="18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09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9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754155">
          <w:marLeft w:val="18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07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17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7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84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89314">
          <w:marLeft w:val="18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91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5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7951">
          <w:marLeft w:val="18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57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264524">
      <w:bodyDiv w:val="1"/>
      <w:marLeft w:val="0"/>
      <w:marRight w:val="2880"/>
      <w:marTop w:val="0"/>
      <w:marBottom w:val="7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043301">
          <w:marLeft w:val="1440"/>
          <w:marRight w:val="1440"/>
          <w:marTop w:val="28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450606">
              <w:marLeft w:val="0"/>
              <w:marRight w:val="0"/>
              <w:marTop w:val="0"/>
              <w:marBottom w:val="7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2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b.academy.sumy.ua/BiblList.Asp?WhatAction=RefList&amp;Pos=1&amp;ResCount=20&amp;SearchStr=339.72&amp;RefType=UdkList&amp;RefValue=1256&amp;BaseType=BookList" TargetMode="External"/><Relationship Id="rId13" Type="http://schemas.openxmlformats.org/officeDocument/2006/relationships/hyperlink" Target="http://currency.in.ua/stock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bank.gov.ua/Publication/Analytical/EOFR/EOFR_01_2009.pd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bank.gov.ua/Statist/Macro.htm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0.12698412698412698"/>
          <c:y val="7.6555023923444973E-2"/>
          <c:w val="0.83150183150183155"/>
          <c:h val="0.72727272727272718"/>
        </c:manualLayout>
      </c:layout>
      <c:lineChart>
        <c:grouping val="stacked"/>
        <c:ser>
          <c:idx val="0"/>
          <c:order val="0"/>
          <c:spPr>
            <a:ln w="12707">
              <a:solidFill>
                <a:srgbClr val="000080"/>
              </a:solidFill>
              <a:prstDash val="solid"/>
            </a:ln>
          </c:spPr>
          <c:marker>
            <c:symbol val="diamond"/>
            <c:size val="5"/>
            <c:spPr>
              <a:solidFill>
                <a:srgbClr val="000080"/>
              </a:solidFill>
              <a:ln>
                <a:solidFill>
                  <a:srgbClr val="000080"/>
                </a:solidFill>
                <a:prstDash val="solid"/>
              </a:ln>
            </c:spPr>
          </c:marker>
          <c:cat>
            <c:strRef>
              <c:f>Лист1!$A$1:$A$35</c:f>
              <c:strCache>
                <c:ptCount val="35"/>
                <c:pt idx="0">
                  <c:v>08.01.</c:v>
                </c:pt>
                <c:pt idx="1">
                  <c:v>09.01.</c:v>
                </c:pt>
                <c:pt idx="2">
                  <c:v>12.01.</c:v>
                </c:pt>
                <c:pt idx="3">
                  <c:v>13.01.</c:v>
                </c:pt>
                <c:pt idx="4">
                  <c:v>14.01.</c:v>
                </c:pt>
                <c:pt idx="5">
                  <c:v>15.01.</c:v>
                </c:pt>
                <c:pt idx="6">
                  <c:v>16.01.</c:v>
                </c:pt>
                <c:pt idx="7">
                  <c:v>19.01.</c:v>
                </c:pt>
                <c:pt idx="8">
                  <c:v>20.01.</c:v>
                </c:pt>
                <c:pt idx="9">
                  <c:v>21.01.</c:v>
                </c:pt>
                <c:pt idx="10">
                  <c:v>22.01.</c:v>
                </c:pt>
                <c:pt idx="11">
                  <c:v>23.01.</c:v>
                </c:pt>
                <c:pt idx="12">
                  <c:v>26.01.</c:v>
                </c:pt>
                <c:pt idx="13">
                  <c:v>27.01.</c:v>
                </c:pt>
                <c:pt idx="14">
                  <c:v>28.01.</c:v>
                </c:pt>
                <c:pt idx="15">
                  <c:v>29.01.</c:v>
                </c:pt>
                <c:pt idx="16">
                  <c:v>30.01.</c:v>
                </c:pt>
                <c:pt idx="17">
                  <c:v>02.02.</c:v>
                </c:pt>
                <c:pt idx="18">
                  <c:v>03.02.</c:v>
                </c:pt>
                <c:pt idx="19">
                  <c:v>04.02.</c:v>
                </c:pt>
                <c:pt idx="20">
                  <c:v>05.02.</c:v>
                </c:pt>
                <c:pt idx="21">
                  <c:v>06.02.</c:v>
                </c:pt>
                <c:pt idx="22">
                  <c:v>09.02.</c:v>
                </c:pt>
                <c:pt idx="23">
                  <c:v>10.02.</c:v>
                </c:pt>
                <c:pt idx="24">
                  <c:v>11.02.</c:v>
                </c:pt>
                <c:pt idx="25">
                  <c:v>12.02.</c:v>
                </c:pt>
                <c:pt idx="26">
                  <c:v>13.02.</c:v>
                </c:pt>
                <c:pt idx="27">
                  <c:v>16.02.</c:v>
                </c:pt>
                <c:pt idx="28">
                  <c:v>17.02.</c:v>
                </c:pt>
                <c:pt idx="29">
                  <c:v>18.02.</c:v>
                </c:pt>
                <c:pt idx="30">
                  <c:v>19.02.</c:v>
                </c:pt>
                <c:pt idx="31">
                  <c:v>20.02.</c:v>
                </c:pt>
                <c:pt idx="32">
                  <c:v>23.02.</c:v>
                </c:pt>
                <c:pt idx="33">
                  <c:v>24.02.</c:v>
                </c:pt>
                <c:pt idx="34">
                  <c:v>02.03.</c:v>
                </c:pt>
              </c:strCache>
            </c:strRef>
          </c:cat>
          <c:val>
            <c:numRef>
              <c:f>Лист1!$B$1:$B$35</c:f>
              <c:numCache>
                <c:formatCode>General</c:formatCode>
                <c:ptCount val="35"/>
                <c:pt idx="0">
                  <c:v>301.91000000000003</c:v>
                </c:pt>
                <c:pt idx="1">
                  <c:v>293.78999999999991</c:v>
                </c:pt>
                <c:pt idx="2">
                  <c:v>295.17</c:v>
                </c:pt>
                <c:pt idx="3">
                  <c:v>293.72000000000003</c:v>
                </c:pt>
                <c:pt idx="4">
                  <c:v>292.87</c:v>
                </c:pt>
                <c:pt idx="5">
                  <c:v>289.9799999999999</c:v>
                </c:pt>
                <c:pt idx="6">
                  <c:v>288.6400000000001</c:v>
                </c:pt>
                <c:pt idx="7">
                  <c:v>288.95</c:v>
                </c:pt>
                <c:pt idx="8">
                  <c:v>285.9199999999999</c:v>
                </c:pt>
                <c:pt idx="9">
                  <c:v>282.56</c:v>
                </c:pt>
                <c:pt idx="10">
                  <c:v>284.41000000000003</c:v>
                </c:pt>
                <c:pt idx="11">
                  <c:v>277.12</c:v>
                </c:pt>
                <c:pt idx="12">
                  <c:v>278.75</c:v>
                </c:pt>
                <c:pt idx="13">
                  <c:v>278.41000000000003</c:v>
                </c:pt>
                <c:pt idx="14">
                  <c:v>277.9799999999999</c:v>
                </c:pt>
                <c:pt idx="15">
                  <c:v>278.55</c:v>
                </c:pt>
                <c:pt idx="16">
                  <c:v>274.58999999999986</c:v>
                </c:pt>
                <c:pt idx="17">
                  <c:v>266.85000000000002</c:v>
                </c:pt>
                <c:pt idx="18">
                  <c:v>260.28999999999991</c:v>
                </c:pt>
                <c:pt idx="19">
                  <c:v>254.94</c:v>
                </c:pt>
                <c:pt idx="20">
                  <c:v>253.31</c:v>
                </c:pt>
                <c:pt idx="21">
                  <c:v>250.76</c:v>
                </c:pt>
                <c:pt idx="22">
                  <c:v>255.93</c:v>
                </c:pt>
                <c:pt idx="23">
                  <c:v>258.45999999999987</c:v>
                </c:pt>
                <c:pt idx="24">
                  <c:v>257.82</c:v>
                </c:pt>
                <c:pt idx="25">
                  <c:v>255.9</c:v>
                </c:pt>
                <c:pt idx="26">
                  <c:v>255.99</c:v>
                </c:pt>
                <c:pt idx="27">
                  <c:v>254.94</c:v>
                </c:pt>
                <c:pt idx="28">
                  <c:v>240.88000000000005</c:v>
                </c:pt>
                <c:pt idx="29">
                  <c:v>221.37</c:v>
                </c:pt>
                <c:pt idx="30">
                  <c:v>225.96</c:v>
                </c:pt>
                <c:pt idx="31">
                  <c:v>223.97</c:v>
                </c:pt>
                <c:pt idx="32">
                  <c:v>226.05</c:v>
                </c:pt>
                <c:pt idx="33">
                  <c:v>218.17</c:v>
                </c:pt>
                <c:pt idx="34">
                  <c:v>205.51</c:v>
                </c:pt>
              </c:numCache>
            </c:numRef>
          </c:val>
        </c:ser>
        <c:marker val="1"/>
        <c:axId val="131538944"/>
        <c:axId val="131540864"/>
      </c:lineChart>
      <c:catAx>
        <c:axId val="131538944"/>
        <c:scaling>
          <c:orientation val="minMax"/>
        </c:scaling>
        <c:axPos val="b"/>
        <c:numFmt formatCode="dd/mm/yyyy" sourceLinked="1"/>
        <c:tickLblPos val="nextTo"/>
        <c:spPr>
          <a:ln w="3177">
            <a:solidFill>
              <a:srgbClr val="000000"/>
            </a:solidFill>
            <a:prstDash val="solid"/>
          </a:ln>
        </c:spPr>
        <c:txPr>
          <a:bodyPr rot="-5400000" vert="horz"/>
          <a:lstStyle/>
          <a:p>
            <a:pPr>
              <a:defRPr sz="1201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31540864"/>
        <c:crosses val="autoZero"/>
        <c:auto val="1"/>
        <c:lblAlgn val="ctr"/>
        <c:lblOffset val="100"/>
        <c:tickLblSkip val="2"/>
        <c:tickMarkSkip val="1"/>
      </c:catAx>
      <c:valAx>
        <c:axId val="131540864"/>
        <c:scaling>
          <c:orientation val="minMax"/>
          <c:min val="200"/>
        </c:scaling>
        <c:axPos val="l"/>
        <c:majorGridlines>
          <c:spPr>
            <a:ln w="3177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1426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t>б.п.</a:t>
                </a:r>
              </a:p>
            </c:rich>
          </c:tx>
          <c:layout>
            <c:manualLayout>
              <c:xMode val="edge"/>
              <c:yMode val="edge"/>
              <c:x val="1.2210012210012215E-2"/>
              <c:y val="0.39952153110047861"/>
            </c:manualLayout>
          </c:layout>
          <c:spPr>
            <a:noFill/>
            <a:ln w="25415">
              <a:noFill/>
            </a:ln>
          </c:spPr>
        </c:title>
        <c:numFmt formatCode="General" sourceLinked="1"/>
        <c:tickLblPos val="nextTo"/>
        <c:spPr>
          <a:ln w="317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401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31538944"/>
        <c:crosses val="autoZero"/>
        <c:crossBetween val="midCat"/>
      </c:valAx>
      <c:spPr>
        <a:solidFill>
          <a:srgbClr val="FFFFFF"/>
        </a:solidFill>
        <a:ln w="12707">
          <a:solidFill>
            <a:srgbClr val="FFFFFF"/>
          </a:solidFill>
          <a:prstDash val="solid"/>
        </a:ln>
      </c:spPr>
    </c:plotArea>
    <c:plotVisOnly val="1"/>
    <c:dispBlanksAs val="zero"/>
  </c:chart>
  <c:spPr>
    <a:noFill/>
    <a:ln>
      <a:noFill/>
    </a:ln>
  </c:spPr>
  <c:txPr>
    <a:bodyPr/>
    <a:lstStyle/>
    <a:p>
      <a:pPr>
        <a:defRPr sz="1426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0.14082840236686398"/>
          <c:y val="8.5000000000000048E-2"/>
          <c:w val="0.84142011834319563"/>
          <c:h val="0.6000000000000002"/>
        </c:manualLayout>
      </c:layout>
      <c:barChart>
        <c:barDir val="col"/>
        <c:grouping val="clustered"/>
        <c:ser>
          <c:idx val="0"/>
          <c:order val="0"/>
          <c:tx>
            <c:strRef>
              <c:f>Лист1!$B$7</c:f>
              <c:strCache>
                <c:ptCount val="1"/>
                <c:pt idx="0">
                  <c:v>01.01.2008</c:v>
                </c:pt>
              </c:strCache>
            </c:strRef>
          </c:tx>
          <c:spPr>
            <a:solidFill>
              <a:srgbClr val="9999FF"/>
            </a:solidFill>
            <a:ln w="12718">
              <a:solidFill>
                <a:srgbClr val="000000"/>
              </a:solidFill>
              <a:prstDash val="solid"/>
            </a:ln>
          </c:spPr>
          <c:dLbls>
            <c:spPr>
              <a:noFill/>
              <a:ln w="25437">
                <a:noFill/>
              </a:ln>
            </c:spPr>
            <c:txPr>
              <a:bodyPr/>
              <a:lstStyle/>
              <a:p>
                <a:pPr>
                  <a:defRPr sz="1202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Val val="1"/>
          </c:dLbls>
          <c:cat>
            <c:strRef>
              <c:f>Лист1!$A$1:$A$6</c:f>
              <c:strCache>
                <c:ptCount val="6"/>
                <c:pt idx="0">
                  <c:v>UTX (UAH)</c:v>
                </c:pt>
                <c:pt idx="1">
                  <c:v>UTX (USD)</c:v>
                </c:pt>
                <c:pt idx="2">
                  <c:v>MSCI (USD)</c:v>
                </c:pt>
                <c:pt idx="3">
                  <c:v>MSCI Ukraine (USD)</c:v>
                </c:pt>
                <c:pt idx="4">
                  <c:v>Індекс S&amp;P Frontier Composite USD</c:v>
                </c:pt>
                <c:pt idx="5">
                  <c:v>S&amp;P Frontier – Ukraine USD</c:v>
                </c:pt>
              </c:strCache>
            </c:strRef>
          </c:cat>
          <c:val>
            <c:numRef>
              <c:f>Лист1!$B$1:$B$6</c:f>
              <c:numCache>
                <c:formatCode>General</c:formatCode>
                <c:ptCount val="6"/>
                <c:pt idx="0">
                  <c:v>1879.07</c:v>
                </c:pt>
                <c:pt idx="1">
                  <c:v>1879.6299999999999</c:v>
                </c:pt>
                <c:pt idx="2">
                  <c:v>1056.8899999999999</c:v>
                </c:pt>
                <c:pt idx="3">
                  <c:v>1055.1799999999998</c:v>
                </c:pt>
                <c:pt idx="4">
                  <c:v>406.1</c:v>
                </c:pt>
                <c:pt idx="5">
                  <c:v>551.29999999999995</c:v>
                </c:pt>
              </c:numCache>
            </c:numRef>
          </c:val>
        </c:ser>
        <c:ser>
          <c:idx val="1"/>
          <c:order val="1"/>
          <c:tx>
            <c:strRef>
              <c:f>Лист1!$C$7</c:f>
              <c:strCache>
                <c:ptCount val="1"/>
                <c:pt idx="0">
                  <c:v>01.01.2009</c:v>
                </c:pt>
              </c:strCache>
            </c:strRef>
          </c:tx>
          <c:spPr>
            <a:solidFill>
              <a:srgbClr val="993366"/>
            </a:solidFill>
            <a:ln w="12718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Mode val="edge"/>
                  <c:yMode val="edge"/>
                  <c:x val="0.20828402366863905"/>
                  <c:y val="0.43500000000000011"/>
                </c:manualLayout>
              </c:layout>
              <c:dLblPos val="outEnd"/>
              <c:showVal val="1"/>
            </c:dLbl>
            <c:dLbl>
              <c:idx val="1"/>
              <c:layout>
                <c:manualLayout>
                  <c:xMode val="edge"/>
                  <c:yMode val="edge"/>
                  <c:x val="0.35147928994082867"/>
                  <c:y val="0.5"/>
                </c:manualLayout>
              </c:layout>
              <c:dLblPos val="outEnd"/>
              <c:showVal val="1"/>
            </c:dLbl>
            <c:dLbl>
              <c:idx val="2"/>
              <c:layout>
                <c:manualLayout>
                  <c:xMode val="edge"/>
                  <c:yMode val="edge"/>
                  <c:x val="0.49467455621301781"/>
                  <c:y val="0.43750000000000011"/>
                </c:manualLayout>
              </c:layout>
              <c:dLblPos val="outEnd"/>
              <c:showVal val="1"/>
            </c:dLbl>
            <c:dLbl>
              <c:idx val="3"/>
              <c:layout>
                <c:manualLayout>
                  <c:xMode val="edge"/>
                  <c:yMode val="edge"/>
                  <c:x val="0.63431952662721902"/>
                  <c:y val="0.56000000000000005"/>
                </c:manualLayout>
              </c:layout>
              <c:dLblPos val="outEnd"/>
              <c:showVal val="1"/>
            </c:dLbl>
            <c:dLbl>
              <c:idx val="4"/>
              <c:layout>
                <c:manualLayout>
                  <c:xMode val="edge"/>
                  <c:yMode val="edge"/>
                  <c:x val="0.7775147928994085"/>
                  <c:y val="0.5575"/>
                </c:manualLayout>
              </c:layout>
              <c:dLblPos val="outEnd"/>
              <c:showVal val="1"/>
            </c:dLbl>
            <c:dLbl>
              <c:idx val="5"/>
              <c:layout>
                <c:manualLayout>
                  <c:xMode val="edge"/>
                  <c:yMode val="edge"/>
                  <c:x val="0.91479289940828412"/>
                  <c:y val="0.54749999999999999"/>
                </c:manualLayout>
              </c:layout>
              <c:dLblPos val="outEnd"/>
              <c:showVal val="1"/>
            </c:dLbl>
            <c:spPr>
              <a:noFill/>
              <a:ln w="25437">
                <a:noFill/>
              </a:ln>
            </c:spPr>
            <c:txPr>
              <a:bodyPr/>
              <a:lstStyle/>
              <a:p>
                <a:pPr>
                  <a:defRPr sz="1202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Val val="1"/>
          </c:dLbls>
          <c:cat>
            <c:strRef>
              <c:f>Лист1!$A$1:$A$6</c:f>
              <c:strCache>
                <c:ptCount val="6"/>
                <c:pt idx="0">
                  <c:v>UTX (UAH)</c:v>
                </c:pt>
                <c:pt idx="1">
                  <c:v>UTX (USD)</c:v>
                </c:pt>
                <c:pt idx="2">
                  <c:v>MSCI (USD)</c:v>
                </c:pt>
                <c:pt idx="3">
                  <c:v>MSCI Ukraine (USD)</c:v>
                </c:pt>
                <c:pt idx="4">
                  <c:v>Індекс S&amp;P Frontier Composite USD</c:v>
                </c:pt>
                <c:pt idx="5">
                  <c:v>S&amp;P Frontier – Ukraine USD</c:v>
                </c:pt>
              </c:strCache>
            </c:strRef>
          </c:cat>
          <c:val>
            <c:numRef>
              <c:f>Лист1!$C$1:$C$6</c:f>
              <c:numCache>
                <c:formatCode>General</c:formatCode>
                <c:ptCount val="6"/>
                <c:pt idx="0">
                  <c:v>514.72</c:v>
                </c:pt>
                <c:pt idx="1">
                  <c:v>338.78</c:v>
                </c:pt>
                <c:pt idx="2">
                  <c:v>471.26</c:v>
                </c:pt>
                <c:pt idx="3">
                  <c:v>170.16</c:v>
                </c:pt>
                <c:pt idx="4">
                  <c:v>179.15</c:v>
                </c:pt>
                <c:pt idx="5">
                  <c:v>98.19</c:v>
                </c:pt>
              </c:numCache>
            </c:numRef>
          </c:val>
        </c:ser>
        <c:dLbls>
          <c:showVal val="1"/>
        </c:dLbls>
        <c:axId val="131586688"/>
        <c:axId val="138412416"/>
      </c:barChart>
      <c:catAx>
        <c:axId val="131586688"/>
        <c:scaling>
          <c:orientation val="minMax"/>
        </c:scaling>
        <c:axPos val="b"/>
        <c:numFmt formatCode="General" sourceLinked="1"/>
        <c:tickLblPos val="nextTo"/>
        <c:spPr>
          <a:ln w="318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2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38412416"/>
        <c:crosses val="autoZero"/>
        <c:auto val="1"/>
        <c:lblAlgn val="ctr"/>
        <c:lblOffset val="100"/>
        <c:tickLblSkip val="1"/>
        <c:tickMarkSkip val="1"/>
      </c:catAx>
      <c:valAx>
        <c:axId val="138412416"/>
        <c:scaling>
          <c:orientation val="minMax"/>
        </c:scaling>
        <c:axPos val="l"/>
        <c:majorGridlines>
          <c:spPr>
            <a:ln w="3180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1202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t>б.п.</a:t>
                </a:r>
              </a:p>
            </c:rich>
          </c:tx>
          <c:layout>
            <c:manualLayout>
              <c:xMode val="edge"/>
              <c:yMode val="edge"/>
              <c:x val="1.5384615384615389E-2"/>
              <c:y val="0.33750000000000013"/>
            </c:manualLayout>
          </c:layout>
          <c:spPr>
            <a:noFill/>
            <a:ln w="25437">
              <a:noFill/>
            </a:ln>
          </c:spPr>
        </c:title>
        <c:numFmt formatCode="General" sourceLinked="1"/>
        <c:tickLblPos val="nextTo"/>
        <c:spPr>
          <a:ln w="318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427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31586688"/>
        <c:crosses val="autoZero"/>
        <c:crossBetween val="between"/>
      </c:valAx>
      <c:spPr>
        <a:solidFill>
          <a:srgbClr val="FFFFFF"/>
        </a:solidFill>
        <a:ln w="12718">
          <a:solidFill>
            <a:srgbClr val="FFFFFF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70532544378698225"/>
          <c:y val="1.5000000000000001E-2"/>
          <c:w val="0.14319526627218934"/>
          <c:h val="0.14750000000000005"/>
        </c:manualLayout>
      </c:layout>
      <c:spPr>
        <a:solidFill>
          <a:srgbClr val="FFFFFF"/>
        </a:solidFill>
        <a:ln w="3180">
          <a:solidFill>
            <a:srgbClr val="000000"/>
          </a:solidFill>
          <a:prstDash val="solid"/>
        </a:ln>
      </c:spPr>
      <c:txPr>
        <a:bodyPr/>
        <a:lstStyle/>
        <a:p>
          <a:pPr>
            <a:defRPr sz="1102" b="0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202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perspective val="0"/>
    </c:view3D>
    <c:plotArea>
      <c:layout>
        <c:manualLayout>
          <c:layoutTarget val="inner"/>
          <c:xMode val="edge"/>
          <c:yMode val="edge"/>
          <c:x val="0.25263157894736843"/>
          <c:y val="0.25722543352601146"/>
          <c:w val="0.49473684210526325"/>
          <c:h val="0.48554913294797686"/>
        </c:manualLayout>
      </c:layout>
      <c:pie3DChart>
        <c:varyColors val="1"/>
        <c:ser>
          <c:idx val="0"/>
          <c:order val="0"/>
          <c:spPr>
            <a:solidFill>
              <a:srgbClr val="9999FF"/>
            </a:solidFill>
            <a:ln w="12718">
              <a:solidFill>
                <a:srgbClr val="000000"/>
              </a:solidFill>
              <a:prstDash val="solid"/>
            </a:ln>
          </c:spPr>
          <c:explosion val="25"/>
          <c:dPt>
            <c:idx val="1"/>
            <c:spPr>
              <a:solidFill>
                <a:srgbClr val="993366"/>
              </a:solidFill>
              <a:ln w="12718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12718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CCFFFF"/>
              </a:solidFill>
              <a:ln w="12718">
                <a:solidFill>
                  <a:srgbClr val="000000"/>
                </a:solidFill>
                <a:prstDash val="solid"/>
              </a:ln>
            </c:spPr>
          </c:dPt>
          <c:dPt>
            <c:idx val="4"/>
            <c:spPr>
              <a:solidFill>
                <a:srgbClr val="660066"/>
              </a:solidFill>
              <a:ln w="12718">
                <a:solidFill>
                  <a:srgbClr val="000000"/>
                </a:solidFill>
                <a:prstDash val="solid"/>
              </a:ln>
            </c:spPr>
          </c:dPt>
          <c:dPt>
            <c:idx val="5"/>
            <c:spPr>
              <a:solidFill>
                <a:srgbClr val="FF8080"/>
              </a:solidFill>
              <a:ln w="12718">
                <a:solidFill>
                  <a:srgbClr val="000000"/>
                </a:solidFill>
                <a:prstDash val="solid"/>
              </a:ln>
            </c:spPr>
          </c:dPt>
          <c:dPt>
            <c:idx val="6"/>
            <c:spPr>
              <a:solidFill>
                <a:srgbClr val="0066CC"/>
              </a:solidFill>
              <a:ln w="12718">
                <a:solidFill>
                  <a:srgbClr val="000000"/>
                </a:solidFill>
                <a:prstDash val="solid"/>
              </a:ln>
            </c:spPr>
          </c:dPt>
          <c:dPt>
            <c:idx val="7"/>
            <c:spPr>
              <a:solidFill>
                <a:srgbClr val="CCCCFF"/>
              </a:solidFill>
              <a:ln w="12718">
                <a:solidFill>
                  <a:srgbClr val="000000"/>
                </a:solidFill>
                <a:prstDash val="solid"/>
              </a:ln>
            </c:spPr>
          </c:dPt>
          <c:dPt>
            <c:idx val="8"/>
            <c:spPr>
              <a:solidFill>
                <a:srgbClr val="000080"/>
              </a:solidFill>
              <a:ln w="12718">
                <a:solidFill>
                  <a:srgbClr val="000000"/>
                </a:solidFill>
                <a:prstDash val="solid"/>
              </a:ln>
            </c:spPr>
          </c:dPt>
          <c:dPt>
            <c:idx val="9"/>
            <c:spPr>
              <a:solidFill>
                <a:srgbClr val="FF00FF"/>
              </a:solidFill>
              <a:ln w="12718">
                <a:solidFill>
                  <a:srgbClr val="000000"/>
                </a:solidFill>
                <a:prstDash val="solid"/>
              </a:ln>
            </c:spPr>
          </c:dPt>
          <c:dPt>
            <c:idx val="10"/>
            <c:spPr>
              <a:solidFill>
                <a:srgbClr val="FFFF00"/>
              </a:solidFill>
              <a:ln w="12718">
                <a:solidFill>
                  <a:srgbClr val="000000"/>
                </a:solidFill>
                <a:prstDash val="solid"/>
              </a:ln>
            </c:spPr>
          </c:dPt>
          <c:dPt>
            <c:idx val="11"/>
            <c:spPr>
              <a:solidFill>
                <a:srgbClr val="00FFFF"/>
              </a:solidFill>
              <a:ln w="12718">
                <a:solidFill>
                  <a:srgbClr val="000000"/>
                </a:solidFill>
                <a:prstDash val="solid"/>
              </a:ln>
            </c:spPr>
          </c:dPt>
          <c:dPt>
            <c:idx val="12"/>
            <c:spPr>
              <a:solidFill>
                <a:srgbClr val="800080"/>
              </a:solidFill>
              <a:ln w="12718">
                <a:solidFill>
                  <a:srgbClr val="000000"/>
                </a:solidFill>
                <a:prstDash val="solid"/>
              </a:ln>
            </c:spPr>
          </c:dPt>
          <c:dPt>
            <c:idx val="13"/>
            <c:spPr>
              <a:solidFill>
                <a:srgbClr val="800000"/>
              </a:solidFill>
              <a:ln w="12718">
                <a:solidFill>
                  <a:srgbClr val="000000"/>
                </a:solidFill>
                <a:prstDash val="solid"/>
              </a:ln>
            </c:spPr>
          </c:dPt>
          <c:dPt>
            <c:idx val="14"/>
            <c:spPr>
              <a:solidFill>
                <a:srgbClr val="008080"/>
              </a:solidFill>
              <a:ln w="12718">
                <a:solidFill>
                  <a:srgbClr val="000000"/>
                </a:solidFill>
                <a:prstDash val="solid"/>
              </a:ln>
            </c:spPr>
          </c:dPt>
          <c:dPt>
            <c:idx val="15"/>
            <c:spPr>
              <a:solidFill>
                <a:srgbClr val="0000FF"/>
              </a:solidFill>
              <a:ln w="12718">
                <a:solidFill>
                  <a:srgbClr val="000000"/>
                </a:solidFill>
                <a:prstDash val="solid"/>
              </a:ln>
            </c:spPr>
          </c:dPt>
          <c:dPt>
            <c:idx val="16"/>
            <c:spPr>
              <a:solidFill>
                <a:srgbClr val="00CCFF"/>
              </a:solidFill>
              <a:ln w="12718">
                <a:solidFill>
                  <a:srgbClr val="000000"/>
                </a:solidFill>
                <a:prstDash val="solid"/>
              </a:ln>
            </c:spPr>
          </c:dPt>
          <c:dPt>
            <c:idx val="17"/>
            <c:spPr>
              <a:solidFill>
                <a:srgbClr val="CCFFFF"/>
              </a:solidFill>
              <a:ln w="12718">
                <a:solidFill>
                  <a:srgbClr val="000000"/>
                </a:solidFill>
                <a:prstDash val="solid"/>
              </a:ln>
            </c:spPr>
          </c:dPt>
          <c:dPt>
            <c:idx val="18"/>
            <c:spPr>
              <a:solidFill>
                <a:srgbClr val="CCFFCC"/>
              </a:solidFill>
              <a:ln w="12718">
                <a:solidFill>
                  <a:srgbClr val="000000"/>
                </a:solidFill>
                <a:prstDash val="solid"/>
              </a:ln>
            </c:spPr>
          </c:dPt>
          <c:dPt>
            <c:idx val="19"/>
            <c:spPr>
              <a:solidFill>
                <a:srgbClr val="FFFF99"/>
              </a:solidFill>
              <a:ln w="12718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Mode val="edge"/>
                  <c:yMode val="edge"/>
                  <c:x val="0.66081871345029275"/>
                  <c:y val="0.14739884393063588"/>
                </c:manualLayout>
              </c:layout>
              <c:dLblPos val="bestFit"/>
              <c:showCatName val="1"/>
              <c:showPercent val="1"/>
            </c:dLbl>
            <c:dLbl>
              <c:idx val="8"/>
              <c:layout>
                <c:manualLayout>
                  <c:xMode val="edge"/>
                  <c:yMode val="edge"/>
                  <c:x val="0.10760233918128659"/>
                  <c:y val="0.46242774566473988"/>
                </c:manualLayout>
              </c:layout>
              <c:dLblPos val="bestFit"/>
              <c:showCatName val="1"/>
              <c:showPercent val="1"/>
            </c:dLbl>
            <c:dLbl>
              <c:idx val="9"/>
              <c:layout>
                <c:manualLayout>
                  <c:xMode val="edge"/>
                  <c:yMode val="edge"/>
                  <c:x val="8.6549707602339182E-2"/>
                  <c:y val="0.32369942196531792"/>
                </c:manualLayout>
              </c:layout>
              <c:dLblPos val="bestFit"/>
              <c:showCatName val="1"/>
              <c:showPercent val="1"/>
            </c:dLbl>
            <c:dLbl>
              <c:idx val="10"/>
              <c:layout>
                <c:manualLayout>
                  <c:xMode val="edge"/>
                  <c:yMode val="edge"/>
                  <c:x val="0.14853801169590644"/>
                  <c:y val="0.25722543352601146"/>
                </c:manualLayout>
              </c:layout>
              <c:dLblPos val="bestFit"/>
              <c:showCatName val="1"/>
              <c:showPercent val="1"/>
            </c:dLbl>
            <c:dLbl>
              <c:idx val="11"/>
              <c:layout>
                <c:manualLayout>
                  <c:xMode val="edge"/>
                  <c:yMode val="edge"/>
                  <c:x val="7.0175438596491224E-2"/>
                  <c:y val="0.15028901734104053"/>
                </c:manualLayout>
              </c:layout>
              <c:dLblPos val="bestFit"/>
              <c:showCatName val="1"/>
              <c:showPercent val="1"/>
            </c:dLbl>
            <c:dLbl>
              <c:idx val="12"/>
              <c:layout>
                <c:manualLayout>
                  <c:xMode val="edge"/>
                  <c:yMode val="edge"/>
                  <c:x val="0.12397660818713452"/>
                  <c:y val="6.6473988439306395E-2"/>
                </c:manualLayout>
              </c:layout>
              <c:dLblPos val="bestFit"/>
              <c:showCatName val="1"/>
              <c:showPercent val="1"/>
            </c:dLbl>
            <c:dLbl>
              <c:idx val="13"/>
              <c:layout>
                <c:manualLayout>
                  <c:xMode val="edge"/>
                  <c:yMode val="edge"/>
                  <c:x val="0.21637426900584789"/>
                  <c:y val="2.3121387283236993E-2"/>
                </c:manualLayout>
              </c:layout>
              <c:dLblPos val="bestFit"/>
              <c:showCatName val="1"/>
              <c:showPercent val="1"/>
            </c:dLbl>
            <c:dLbl>
              <c:idx val="14"/>
              <c:layout>
                <c:manualLayout>
                  <c:xMode val="edge"/>
                  <c:yMode val="edge"/>
                  <c:x val="0.28187134502923988"/>
                  <c:y val="8.6705202312138737E-3"/>
                </c:manualLayout>
              </c:layout>
              <c:dLblPos val="bestFit"/>
              <c:showCatName val="1"/>
              <c:showPercent val="1"/>
            </c:dLbl>
            <c:dLbl>
              <c:idx val="15"/>
              <c:layout>
                <c:manualLayout>
                  <c:xMode val="edge"/>
                  <c:yMode val="edge"/>
                  <c:x val="0.36959064327485402"/>
                  <c:y val="0.12716763005780346"/>
                </c:manualLayout>
              </c:layout>
              <c:dLblPos val="bestFit"/>
              <c:showCatName val="1"/>
              <c:showPercent val="1"/>
            </c:dLbl>
            <c:dLbl>
              <c:idx val="16"/>
              <c:dLblPos val="bestFit"/>
              <c:showCatName val="1"/>
              <c:showPercent val="1"/>
            </c:dLbl>
            <c:dLbl>
              <c:idx val="17"/>
              <c:layout>
                <c:manualLayout>
                  <c:xMode val="edge"/>
                  <c:yMode val="edge"/>
                  <c:x val="0.45263157894736844"/>
                  <c:y val="2.8901734104046241E-3"/>
                </c:manualLayout>
              </c:layout>
              <c:dLblPos val="bestFit"/>
              <c:showCatName val="1"/>
              <c:showPercent val="1"/>
            </c:dLbl>
            <c:dLbl>
              <c:idx val="18"/>
              <c:dLblPos val="bestFit"/>
              <c:showCatName val="1"/>
              <c:showPercent val="1"/>
            </c:dLbl>
            <c:dLbl>
              <c:idx val="19"/>
              <c:layout>
                <c:manualLayout>
                  <c:xMode val="edge"/>
                  <c:yMode val="edge"/>
                  <c:x val="0.58947368421052637"/>
                  <c:y val="9.2485549132947972E-2"/>
                </c:manualLayout>
              </c:layout>
              <c:dLblPos val="bestFit"/>
              <c:showCatName val="1"/>
              <c:showPercent val="1"/>
            </c:dLbl>
            <c:numFmt formatCode="0.00%" sourceLinked="0"/>
            <c:spPr>
              <a:noFill/>
              <a:ln w="25437">
                <a:noFill/>
              </a:ln>
            </c:spPr>
            <c:txPr>
              <a:bodyPr/>
              <a:lstStyle/>
              <a:p>
                <a:pPr>
                  <a:defRPr sz="1001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CatName val="1"/>
            <c:showPercent val="1"/>
            <c:showLeaderLines val="1"/>
          </c:dLbls>
          <c:cat>
            <c:strRef>
              <c:f>Лист1!$A$1:$A$20</c:f>
              <c:strCache>
                <c:ptCount val="20"/>
                <c:pt idx="0">
                  <c:v>ZAEN  </c:v>
                </c:pt>
                <c:pt idx="1">
                  <c:v>UNAF  </c:v>
                </c:pt>
                <c:pt idx="2">
                  <c:v>UTEL </c:v>
                </c:pt>
                <c:pt idx="3">
                  <c:v>CEEN  </c:v>
                </c:pt>
                <c:pt idx="4">
                  <c:v>NITR </c:v>
                </c:pt>
                <c:pt idx="5">
                  <c:v>MSICH </c:v>
                </c:pt>
                <c:pt idx="6">
                  <c:v>MMKI </c:v>
                </c:pt>
                <c:pt idx="7">
                  <c:v>SMASH </c:v>
                </c:pt>
                <c:pt idx="8">
                  <c:v>DNEN  </c:v>
                </c:pt>
                <c:pt idx="9">
                  <c:v>KIEN </c:v>
                </c:pt>
                <c:pt idx="10">
                  <c:v>BAVL </c:v>
                </c:pt>
                <c:pt idx="11">
                  <c:v>ALMK  </c:v>
                </c:pt>
                <c:pt idx="12">
                  <c:v>ENMZ  </c:v>
                </c:pt>
                <c:pt idx="13">
                  <c:v>AZST </c:v>
                </c:pt>
                <c:pt idx="14">
                  <c:v>STIR </c:v>
                </c:pt>
                <c:pt idx="15">
                  <c:v>PGOK </c:v>
                </c:pt>
                <c:pt idx="16">
                  <c:v>USCB  </c:v>
                </c:pt>
                <c:pt idx="17">
                  <c:v>MZVM </c:v>
                </c:pt>
                <c:pt idx="18">
                  <c:v>KVBZ </c:v>
                </c:pt>
                <c:pt idx="19">
                  <c:v>AVDK  </c:v>
                </c:pt>
              </c:strCache>
            </c:strRef>
          </c:cat>
          <c:val>
            <c:numRef>
              <c:f>Лист1!$B$1:$B$20</c:f>
              <c:numCache>
                <c:formatCode>General</c:formatCode>
                <c:ptCount val="20"/>
                <c:pt idx="0">
                  <c:v>12.2</c:v>
                </c:pt>
                <c:pt idx="1">
                  <c:v>11.69</c:v>
                </c:pt>
                <c:pt idx="2">
                  <c:v>11.51</c:v>
                </c:pt>
                <c:pt idx="3">
                  <c:v>8.7800000000000011</c:v>
                </c:pt>
                <c:pt idx="4">
                  <c:v>8.77</c:v>
                </c:pt>
                <c:pt idx="5">
                  <c:v>8.1300000000000008</c:v>
                </c:pt>
                <c:pt idx="6">
                  <c:v>6.48</c:v>
                </c:pt>
                <c:pt idx="7">
                  <c:v>5.49</c:v>
                </c:pt>
                <c:pt idx="8">
                  <c:v>4.83</c:v>
                </c:pt>
                <c:pt idx="9">
                  <c:v>4.53</c:v>
                </c:pt>
                <c:pt idx="10">
                  <c:v>2.64</c:v>
                </c:pt>
                <c:pt idx="11">
                  <c:v>2.42</c:v>
                </c:pt>
                <c:pt idx="12">
                  <c:v>2.3499999999999992</c:v>
                </c:pt>
                <c:pt idx="13">
                  <c:v>2.0499999999999998</c:v>
                </c:pt>
                <c:pt idx="14">
                  <c:v>2.0099999999999998</c:v>
                </c:pt>
                <c:pt idx="15">
                  <c:v>1.9100000000000001</c:v>
                </c:pt>
                <c:pt idx="16">
                  <c:v>1.32</c:v>
                </c:pt>
                <c:pt idx="17">
                  <c:v>1.03</c:v>
                </c:pt>
                <c:pt idx="18">
                  <c:v>1.01</c:v>
                </c:pt>
                <c:pt idx="19">
                  <c:v>0.8500000000000002</c:v>
                </c:pt>
              </c:numCache>
            </c:numRef>
          </c:val>
        </c:ser>
        <c:dLbls>
          <c:showCatName val="1"/>
          <c:showPercent val="1"/>
        </c:dLbls>
      </c:pie3DChart>
      <c:spPr>
        <a:noFill/>
        <a:ln w="25437">
          <a:noFill/>
        </a:ln>
      </c:spPr>
    </c:plotArea>
    <c:plotVisOnly val="1"/>
    <c:dispBlanksAs val="zero"/>
  </c:chart>
  <c:spPr>
    <a:noFill/>
    <a:ln>
      <a:noFill/>
    </a:ln>
  </c:spPr>
  <c:txPr>
    <a:bodyPr/>
    <a:lstStyle/>
    <a:p>
      <a:pPr>
        <a:defRPr sz="1202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E81518-D69A-4AA1-B96B-6298CE8C3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3594</Words>
  <Characters>20491</Characters>
  <Application>Microsoft Office Word</Application>
  <DocSecurity>0</DocSecurity>
  <Lines>170</Lines>
  <Paragraphs>48</Paragraphs>
  <ScaleCrop>false</ScaleCrop>
  <Company>Reanimator Extreme Edition</Company>
  <LinksUpToDate>false</LinksUpToDate>
  <CharactersWithSpaces>24037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DNE</dc:title>
  <dc:creator>DNE</dc:creator>
  <cp:lastModifiedBy>acer</cp:lastModifiedBy>
  <cp:revision>2</cp:revision>
  <dcterms:created xsi:type="dcterms:W3CDTF">2013-04-23T11:09:00Z</dcterms:created>
  <dcterms:modified xsi:type="dcterms:W3CDTF">2013-04-23T11:09:00Z</dcterms:modified>
</cp:coreProperties>
</file>