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2A" w:rsidRPr="0033652A" w:rsidRDefault="0033652A" w:rsidP="0033652A">
      <w:pPr>
        <w:spacing w:line="240" w:lineRule="auto"/>
        <w:ind w:right="-760"/>
        <w:contextualSpacing/>
        <w:rPr>
          <w:rFonts w:ascii="Times New Roman" w:hAnsi="Times New Roman" w:cs="Times New Roman"/>
          <w:lang w:val="uk-UA"/>
        </w:rPr>
      </w:pPr>
      <w:r w:rsidRPr="0033652A">
        <w:rPr>
          <w:rFonts w:ascii="Times New Roman" w:hAnsi="Times New Roman" w:cs="Times New Roman"/>
          <w:lang w:val="uk-UA"/>
        </w:rPr>
        <w:t xml:space="preserve">Лінгвістичні та методичні проблеми навчання мови як іноземної : Матеріали </w:t>
      </w:r>
      <w:r w:rsidRPr="0033652A">
        <w:rPr>
          <w:rFonts w:ascii="Times New Roman" w:hAnsi="Times New Roman" w:cs="Times New Roman"/>
          <w:lang w:val="en-US"/>
        </w:rPr>
        <w:t>VIII</w:t>
      </w:r>
      <w:r w:rsidRPr="0033652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3652A">
        <w:rPr>
          <w:rFonts w:ascii="Times New Roman" w:hAnsi="Times New Roman" w:cs="Times New Roman"/>
          <w:lang w:val="uk-UA"/>
        </w:rPr>
        <w:t>Міжн</w:t>
      </w:r>
      <w:proofErr w:type="spellEnd"/>
      <w:r w:rsidRPr="0033652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33652A">
        <w:rPr>
          <w:rFonts w:ascii="Times New Roman" w:hAnsi="Times New Roman" w:cs="Times New Roman"/>
          <w:lang w:val="uk-UA"/>
        </w:rPr>
        <w:t>наук.-</w:t>
      </w:r>
      <w:proofErr w:type="spellEnd"/>
    </w:p>
    <w:p w:rsidR="0033652A" w:rsidRPr="0033652A" w:rsidRDefault="0033652A" w:rsidP="0033652A">
      <w:pPr>
        <w:spacing w:line="240" w:lineRule="auto"/>
        <w:ind w:right="-760"/>
        <w:contextualSpacing/>
        <w:rPr>
          <w:rFonts w:ascii="Times New Roman" w:hAnsi="Times New Roman" w:cs="Times New Roman"/>
          <w:lang w:val="uk-UA"/>
        </w:rPr>
      </w:pPr>
      <w:proofErr w:type="spellStart"/>
      <w:r w:rsidRPr="0033652A">
        <w:rPr>
          <w:rFonts w:ascii="Times New Roman" w:hAnsi="Times New Roman" w:cs="Times New Roman"/>
          <w:lang w:val="uk-UA"/>
        </w:rPr>
        <w:t>практ</w:t>
      </w:r>
      <w:proofErr w:type="spellEnd"/>
      <w:r w:rsidRPr="0033652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33652A">
        <w:rPr>
          <w:rFonts w:ascii="Times New Roman" w:hAnsi="Times New Roman" w:cs="Times New Roman"/>
          <w:lang w:val="uk-UA"/>
        </w:rPr>
        <w:t>конф</w:t>
      </w:r>
      <w:proofErr w:type="spellEnd"/>
      <w:r w:rsidRPr="0033652A">
        <w:rPr>
          <w:rFonts w:ascii="Times New Roman" w:hAnsi="Times New Roman" w:cs="Times New Roman"/>
          <w:lang w:val="uk-UA"/>
        </w:rPr>
        <w:t xml:space="preserve">. / За ред. В.К.Зернової. –  Полтава : Полтавський ун-т економіки і торгівлі, 2010. – </w:t>
      </w:r>
    </w:p>
    <w:p w:rsidR="0033652A" w:rsidRPr="0033652A" w:rsidRDefault="0033652A" w:rsidP="0033652A">
      <w:pPr>
        <w:spacing w:line="240" w:lineRule="auto"/>
        <w:ind w:right="-760"/>
        <w:contextualSpacing/>
        <w:rPr>
          <w:rFonts w:ascii="Times New Roman" w:hAnsi="Times New Roman" w:cs="Times New Roman"/>
          <w:lang w:val="uk-UA"/>
        </w:rPr>
      </w:pPr>
      <w:r w:rsidRPr="0033652A">
        <w:rPr>
          <w:rFonts w:ascii="Times New Roman" w:hAnsi="Times New Roman" w:cs="Times New Roman"/>
          <w:lang w:val="uk-UA"/>
        </w:rPr>
        <w:t>С. 336-340.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</w:p>
    <w:p w:rsidR="0033652A" w:rsidRDefault="0033652A" w:rsidP="0033652A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  <w:bookmarkStart w:id="0" w:name="_GoBack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ВЕЛИКА ЛІТЕРА ЯК  СПОСІБ ФІКСАЦІЇ ПРАВОВОГО СТАТУСУ ОБ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’</w:t>
      </w: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ЄКТІВ НОМІНАЦІЇ </w:t>
      </w:r>
    </w:p>
    <w:bookmarkEnd w:id="0"/>
    <w:p w:rsidR="0033652A" w:rsidRDefault="0033652A" w:rsidP="0033652A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МОЗГОВИЙ В.І., МОЗГОВА Н.І.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Донацький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національний технічний університет, 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Донецький національний університет економіки і торгівлі 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імені М.І.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Тугана-Барановського</w:t>
      </w:r>
      <w:proofErr w:type="spellEnd"/>
    </w:p>
    <w:p w:rsidR="0033652A" w:rsidRDefault="0033652A" w:rsidP="0033652A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Проблема вживання великої літери у сучасному контексті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рекламозалежності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суспільства набуває </w:t>
      </w:r>
      <w:r w:rsidRPr="00E2032E">
        <w:rPr>
          <w:rFonts w:ascii="Times New Roman CYR" w:hAnsi="Times New Roman CYR" w:cs="Times New Roman CYR"/>
          <w:sz w:val="28"/>
          <w:szCs w:val="28"/>
          <w:lang w:val="uk-UA"/>
        </w:rPr>
        <w:t>неабиякого значення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(див. [2],</w:t>
      </w:r>
      <w:r w:rsidRPr="003A528A">
        <w:rPr>
          <w:rFonts w:ascii="Times New Roman CYR" w:hAnsi="Times New Roman CYR" w:cs="Times New Roman CYR"/>
          <w:sz w:val="28"/>
          <w:szCs w:val="28"/>
          <w:lang w:val="uk-UA"/>
        </w:rPr>
        <w:t xml:space="preserve"> 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 w:rsidRPr="003A528A">
        <w:rPr>
          <w:rFonts w:ascii="Times New Roman CYR" w:hAnsi="Times New Roman CYR" w:cs="Times New Roman CYR"/>
          <w:sz w:val="28"/>
          <w:szCs w:val="28"/>
          <w:lang w:val="uk-UA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E2032E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проте</w:t>
      </w:r>
      <w:r w:rsidRPr="00E2032E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її роль як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катеґорії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права знецінюється, перетворюючись у такий-собі спосіб підкреслення значущості явища, яке між тим на це не заслуговує (</w:t>
      </w:r>
      <w:r w:rsidRPr="00C0083B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«Ми – Найкраща Фінансова 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Компанія у С</w:t>
      </w:r>
      <w:r w:rsidRPr="00C0083B">
        <w:rPr>
          <w:rFonts w:ascii="Times New Roman CYR" w:hAnsi="Times New Roman CYR" w:cs="Times New Roman CYR"/>
          <w:i/>
          <w:sz w:val="28"/>
          <w:szCs w:val="28"/>
          <w:lang w:val="uk-UA"/>
        </w:rPr>
        <w:t>віті», «Ялинка від Міського Голови»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тощо). Цьому сприяє уявлення про велику літеру як засіб висловлення пошани (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Ви, Ваш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і поширене трактування її ролі в писемному мовленні, так або інакше сформоване довідниками</w:t>
      </w:r>
      <w:r w:rsidRPr="004626F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шкільними підручниками. Так, перелік її уживань, сформульований у параграфі «Велика буква і лапки у власних назвах» при вивченні теми «Загальні і власні назви» у довіднику «Українська мова» сягає трьох сторінок, де перераховуються: 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– імена по батькові, прізвища, псевдоніми, прізвиська людей (</w:t>
      </w:r>
      <w:r w:rsidRPr="00F837A8">
        <w:rPr>
          <w:rFonts w:ascii="Times New Roman CYR" w:hAnsi="Times New Roman CYR" w:cs="Times New Roman CYR"/>
          <w:i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авло Михайлович Губенко </w:t>
      </w:r>
      <w:r w:rsidRPr="00F837A8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 w:rsidRPr="00F837A8">
        <w:rPr>
          <w:rFonts w:ascii="Times New Roman CYR" w:hAnsi="Times New Roman CYR" w:cs="Times New Roman CYR"/>
          <w:i/>
          <w:sz w:val="28"/>
          <w:szCs w:val="28"/>
          <w:lang w:val="uk-UA"/>
        </w:rPr>
        <w:t>О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стап </w:t>
      </w:r>
      <w:r w:rsidRPr="00F837A8">
        <w:rPr>
          <w:rFonts w:ascii="Times New Roman CYR" w:hAnsi="Times New Roman CYR" w:cs="Times New Roman CYR"/>
          <w:i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ишня</w:t>
      </w:r>
      <w:r w:rsidRPr="00F837A8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, Ярослав Мудрий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); 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– назви божеств і міфологічних істот (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Мати Божа, Ісус Христос, Бог, Будда, Артеміда, Кий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); 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– клички свійських тварин, назви дійових осіб у художніх творах (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Мурка. Дід Мороз, Мавка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);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– назви найвищих державних українських і міжнародних установ і посад (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Кабінет Міністрів України, Конституцій Суд України, Верховна Рада України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); 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– астрономічні назви, крім родових позначень, назви сортів рослин у спеціальній літературі (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Чумацький шлях, комета Галлея, Сніговий кальвіль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); 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– географічні назви, крім слів 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море, острів, гора, озеро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под. (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Біловезька Пуща, Зелений Гай, мис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Айя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, Чорне море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);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– назви вулиць, проспектів, майданів, парків, залізничних, морських і под. шляхів, крім родових позначень (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вулиця 23 Лютого, Молодіжний парк, Київське шосе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); 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– назви груп або союзів держав і найвищих міжнародних організацій (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Всесвітня Рада Миру, Організація Об</w:t>
      </w:r>
      <w:r w:rsidRPr="00F837A8">
        <w:rPr>
          <w:rFonts w:ascii="Times New Roman CYR" w:hAnsi="Times New Roman CYR" w:cs="Times New Roman CYR"/>
          <w:i/>
          <w:sz w:val="28"/>
          <w:szCs w:val="28"/>
        </w:rPr>
        <w:t>’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єднаних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Націй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); 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– назви держав і автономних адміністративно-територіальних одиниць (усі слова: </w:t>
      </w:r>
      <w:r w:rsidRPr="00CA1948">
        <w:rPr>
          <w:rFonts w:ascii="Times New Roman CYR" w:hAnsi="Times New Roman CYR" w:cs="Times New Roman CYR"/>
          <w:i/>
          <w:sz w:val="28"/>
          <w:szCs w:val="28"/>
          <w:lang w:val="uk-UA"/>
        </w:rPr>
        <w:t>Сполучені Штати Америки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, Федеративна Республіка Німеччина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), автономних областей та округів країв, областей, районів (тільки перше слово: 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Львівська область, Київський район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тощо (див. </w:t>
      </w:r>
      <w:r w:rsidRPr="007D6C3A">
        <w:rPr>
          <w:rFonts w:ascii="Times New Roman CYR" w:hAnsi="Times New Roman CYR" w:cs="Times New Roman CYR"/>
          <w:sz w:val="28"/>
          <w:szCs w:val="28"/>
          <w:lang w:val="uk-UA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1, с.104-106</w:t>
      </w:r>
      <w:r w:rsidRPr="007D6C3A">
        <w:rPr>
          <w:rFonts w:ascii="Times New Roman CYR" w:hAnsi="Times New Roman CYR" w:cs="Times New Roman CYR"/>
          <w:sz w:val="28"/>
          <w:szCs w:val="28"/>
          <w:lang w:val="uk-UA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).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практиці цей перелік вряд чи може допомогти при фіксації безлічі можливих варіантів власних назв, що з’являються разом з новими суспільними реаліями (молодіжні центри, дискотеки, інтерактивні клуби, електронні адреси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</w:t>
      </w:r>
      <w:r w:rsidRPr="00260A0B">
        <w:rPr>
          <w:rFonts w:ascii="Times New Roman CYR" w:hAnsi="Times New Roman CYR" w:cs="Times New Roman CYR"/>
          <w:sz w:val="28"/>
          <w:szCs w:val="28"/>
          <w:lang w:val="uk-UA"/>
        </w:rPr>
        <w:t>ентри культури і дозвілля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тощо). Крім цього, важко зрозуміти, скільки слів треба писати з великої літери, якщо назва багатокомпонентна. Пояснення «крім родових позначень» стає проблематичним при вживаннях типу 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Голосіївський парк – Парк «Молодість»</w:t>
      </w:r>
      <w:r w:rsidRPr="00602C01">
        <w:rPr>
          <w:rFonts w:ascii="Times New Roman CYR" w:hAnsi="Times New Roman CYR" w:cs="Times New Roman CYR"/>
          <w:i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Золоті Ворота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 w:rsidRPr="00602C01">
        <w:rPr>
          <w:rFonts w:ascii="Times New Roman CYR" w:hAnsi="Times New Roman CYR" w:cs="Times New Roman CYR"/>
          <w:sz w:val="28"/>
          <w:szCs w:val="28"/>
          <w:lang w:val="uk-UA"/>
        </w:rPr>
        <w:t>станція метро у Києві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– Золоті ворота</w:t>
      </w:r>
      <w:r w:rsidRPr="00602C0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(пам</w:t>
      </w:r>
      <w:r w:rsidRPr="00602C01">
        <w:rPr>
          <w:rFonts w:ascii="Times New Roman CYR" w:hAnsi="Times New Roman CYR" w:cs="Times New Roman CYR"/>
          <w:sz w:val="28"/>
          <w:szCs w:val="28"/>
          <w:lang w:val="uk-UA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ятник архітектури у Києві)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, Волинський виконком – Виконком Волинської ради, яр «Буйний» – м. Часів Яр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(Донецька область) або 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район Бабин Яр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(м. Київ)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, вода «Нарзан» – м. Жовті Води, Донецька обласна рада – Верховна Рада України, Президент України – президент Сполучених 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lastRenderedPageBreak/>
        <w:t>Штатів Америки, міністр –</w:t>
      </w:r>
      <w:r w:rsidRPr="0044059C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Прем</w:t>
      </w:r>
      <w:r w:rsidRPr="0044059C">
        <w:rPr>
          <w:rFonts w:ascii="Times New Roman CYR" w:hAnsi="Times New Roman CYR" w:cs="Times New Roman CYR"/>
          <w:i/>
          <w:sz w:val="28"/>
          <w:szCs w:val="28"/>
          <w:lang w:val="uk-UA"/>
        </w:rPr>
        <w:t>’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єр-міністр України, приємне побачення –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с.м.т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Приятне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Свидання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(Крим). 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Незрозуміле й поєднання різних функцій великої літери у межах однієї теми. Сюди відносять і абревіатури, утворені з початкових літер власних і загальних назв </w:t>
      </w:r>
      <w:r w:rsidRPr="009C546E">
        <w:rPr>
          <w:rFonts w:ascii="Times New Roman CYR" w:hAnsi="Times New Roman CYR" w:cs="Times New Roman CYR"/>
          <w:sz w:val="28"/>
          <w:szCs w:val="28"/>
          <w:lang w:val="uk-UA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1, с.106</w:t>
      </w:r>
      <w:r w:rsidRPr="009C546E">
        <w:rPr>
          <w:rFonts w:ascii="Times New Roman CYR" w:hAnsi="Times New Roman CYR" w:cs="Times New Roman CYR"/>
          <w:sz w:val="28"/>
          <w:szCs w:val="28"/>
          <w:lang w:val="uk-UA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і початок речення або цитати, і звертання або ремарки, і графічні скорочення </w:t>
      </w:r>
      <w:r w:rsidRPr="009C546E">
        <w:rPr>
          <w:rFonts w:ascii="Times New Roman CYR" w:hAnsi="Times New Roman CYR" w:cs="Times New Roman CYR"/>
          <w:sz w:val="28"/>
          <w:szCs w:val="28"/>
          <w:lang w:val="uk-UA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4, с.45-57</w:t>
      </w:r>
      <w:r w:rsidRPr="009C546E">
        <w:rPr>
          <w:rFonts w:ascii="Times New Roman CYR" w:hAnsi="Times New Roman CYR" w:cs="Times New Roman CYR"/>
          <w:sz w:val="28"/>
          <w:szCs w:val="28"/>
          <w:lang w:val="uk-UA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хоча з точки зору статусу власних назв таке змішування вряд чи виправдане. 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у власних назвах велика літера є способом фіксації соціально-правових відносин із вказівкою на конкретну юридичну або фізичну особу (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міністерство – Міністерство юстиції, обласна адміністрація – Полтавська обласна адміністрація, вереснева погода – вул. Вереснева, золота обручка – Золоті ворота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пам</w:t>
      </w:r>
      <w:proofErr w:type="spellEnd"/>
      <w:r w:rsidRPr="00117EDF">
        <w:rPr>
          <w:rFonts w:ascii="Times New Roman CYR" w:hAnsi="Times New Roman CYR" w:cs="Times New Roman CYR"/>
          <w:sz w:val="28"/>
          <w:szCs w:val="28"/>
        </w:rPr>
        <w:t>’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ятник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архітектури)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, президент компанії – Президент України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 то в абревіатурах її вживання залежить від граматичної форми, тобто від спроможності до словотвору у межах ділового стилю (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вуз – вузівський, загс – до загсу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але: 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ГЕС, СНД, з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ВАКу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або можливості відмінювання чи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невідмінювання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під час непу, у вузах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але: 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у ПТУ, в УРП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). Що стосується всіх інших випадків, то вживання великої літери – це скоріше сигнальний знак для кращого сприйняття письмової інформації: 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«</w:t>
      </w:r>
      <w:r w:rsidRPr="00E00C27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ішла. </w:t>
      </w:r>
      <w:r w:rsidRPr="00E00C27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серце моє кричало: «</w:t>
      </w:r>
      <w:r w:rsidRPr="00E00C27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ернись, вернись, я все прощу!»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(за допомогою великої літери читач визначає, скільки інформацій і скільки дійових осіб у складному реченні з прямою мовою).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Ось чому набагато важливішими у цьому контексті є відповіді на запитання, що означає велика літера і для чого вона вживається, ніж коли її ставити. 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ми розуміємо, що усвідомлення особливого статусу власних назв – обов’язкова умова адекватної мовної політики і юридичної точності документа, то ця точність повинна бути закріпленою на письмі певним способом, який би звертав на це увагу – уживанням великої літери. Сьогодні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найголовнішою функцією великої літери є її вживання в реченні для фіксації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катеґорії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права. Великою літерою фіксуються конкретні особи або одиничні об’єкти, які втратили лексичне значення і виконують адресну й інформативну (асоціативну) функції: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Президент, Верховна Рада, Кабінет Міністрів, Конституційний Суд, Прем’єр-міністр,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Держкіно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Коваль, Жовті Води, газета «День», Голова Верховної Ради України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– власні назви, бо в них діє адресна функція (Україна, Київ), втрачається лексичне значення і з’являється інформація про конкретні об’єкти номінації (про органи центральної влади, про рід, місто, газету, посаду верховної влади тощо), але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коваль, президент, вчена (міська) рада,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кабінет, суд,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міністр,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держадміністрація,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жовта вода, день, міський голова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– слова, бо вони позбавлені адресної функції і мають значення.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Велика літера немов попереджає: будь обережним, це не слово, а чиясь власність, тому не перекладай, не перейменовуй – це не твоє. І кількість великих літер у багатокомпонентних власних назвах залежить не від «пошани», а від наявності / відсутності лексичного значення, адресної чи інформативної функцій. 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Так, у назвах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Білосарайський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лиман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Золоті ворота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вул.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Путилівської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рощі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Партія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реґіонів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великою літерою фіксується тільки перший компонент як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катеґорія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, що втратила лексичне значення і виконує адресну функцію 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Білосарайка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Київ, Донецьк, конкретна партія), хоча у другому випадку мова йде дійсно про лиман, ворота, рощу або партію, яка захищає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реґіони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тобто про слова, які мають лексичне значення. 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іншого боку, вживання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Красний Лиман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Золоті Ворота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вул.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Путилівська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Роща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Партія Зелених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повністю належать до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катеґорії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індивідуальної номінації, бо це місто, станція метро, вулиця, партія захисників природи, а не лиман, ворота,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роща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чи кольорова партія. 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Є ще один випадок, коли загальні назви типу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театр, партія, кінотеатр, виконком, клуб, генерал, капітан, головний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тощо можуть перетворюватися у власні назви: якщо з таких слів вони починаються. Порівняйте: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генерал Антонов – вулиця Генерала Антонова, кінотеатр – Кінотеатр імені Шевченка, театр – Театр Франка, клуб – Клуб письменників, капітан – вул. Капітана Ратникова, Донецький виконком – Виконком Донецької обласної ради, київське кафе – Київський завод «Арсенал», управління фінансами – Головне управління фінансами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(або навіть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Донецьке Головне управління фінансами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).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Саме з цих позицій слід підходити до безлічі конкретних вживань власних назв: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Гнідко, Сірко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(про тварин);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шпанка – Шпанка рання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(про сорт рослин),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левове серце – Річард Левове Серце, невеличкий кінотеатр – Кінотеатр «Молодість», ведмедиця – Велика Ведмедиця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(про сузір’я)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, південний схід – Далекий Схід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(про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реґіон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);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церква – Біла Церква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(про місто);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Житомирська автострада, Андріївський узвіз, Південно-Західна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залізницйя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Лібкнехт-штрасе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Уолл-стрит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, Грузинська дорога, Сухий Яр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(про село),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Петрівський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радгосп, Шевченківський районний суд, будинок –  Будинок вчителя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(про установу),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орден Вітчизняної війни, Грінченків словар, Шевченківська премія, Кобзар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(про Тараса Шевченка)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, Ляля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Убийвовк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Марія-Тереза, Каменяр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(про Івана Франка)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Марко Вовчок, Олександр Невський, Мао Цзедун, У Чин Су,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Луанг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Вічит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Ватакан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Кур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де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Жебелен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де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виконує роль частки),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Генеральний секретар ООН, Генеральний прокурор України, Міністр освіти України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(але: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міністр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Голова Верховної Ради України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(але: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міський голова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);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Ворон, Лисиця, Будда, Христос, Червона Шапочка, Аполлон, Афіна, Перун, Мороз, Той, що греблі рве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(про байкові, релігійні, казкові, драматичні чи міфологічні персонажі) тощо.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Таким чином, усі можливі варіанти уживання великої літери потребують упорядкування не тільки залежно від їхньої функції у мові (граматичної,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сигнальної, видільної), але й з точки зору суспільно-правового статусу, зосередженого в адресній і / або інформативній функції</w:t>
      </w:r>
      <w:r w:rsidRPr="007B299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власних назв.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3652A" w:rsidRDefault="0033652A" w:rsidP="0033652A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Література</w:t>
      </w:r>
    </w:p>
    <w:p w:rsidR="0033652A" w:rsidRDefault="0033652A" w:rsidP="0033652A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3652A" w:rsidRPr="00260A0B" w:rsidRDefault="0033652A" w:rsidP="0033652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Дудка О.О.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Шевєлева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Л.А.Українська мова: Довідник. 5-9 класи / За ред. А.О.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Свашенко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– 2-ге вид.,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доп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. / О.О.Дудка, Л.А.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Шевелєва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– Х.: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Веста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: вид. «Ранок», 2007. – 416 с. 2.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Ильин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Д.Ю.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Тенденции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проблемы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формирования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орфографии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собственных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имен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ХІХ – ХХ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вв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. 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Прописная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буква в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топонимии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//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Вестник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Волгоградского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государственного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ун-та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– Волгоград, 1998. –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Вып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3 (сер. 2). – С. 45-50. 3.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Розенталь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</w:t>
      </w:r>
      <w:r>
        <w:rPr>
          <w:rFonts w:ascii="Times New Roman CYR" w:hAnsi="Times New Roman CYR" w:cs="Times New Roman CYR"/>
          <w:sz w:val="28"/>
          <w:szCs w:val="28"/>
        </w:rPr>
        <w:t xml:space="preserve">.Э. Прописная или строчная? (Опыт словаря-справочника) / Д.Э.Розенталь. – М.: «Русский язык», 1985. – 328 с. 4.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Український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правопис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/ НАН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України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Інститут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мовознавства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О.О.Потебні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Інститут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української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мови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– К.: Наук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умка, 2005. – 240 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3C44B8" w:rsidRPr="0033652A" w:rsidRDefault="003C44B8">
      <w:pPr>
        <w:rPr>
          <w:lang w:val="uk-UA"/>
        </w:rPr>
      </w:pPr>
    </w:p>
    <w:sectPr w:rsidR="003C44B8" w:rsidRPr="0033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2A"/>
    <w:rsid w:val="0033652A"/>
    <w:rsid w:val="003C44B8"/>
    <w:rsid w:val="004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Acergt</dc:creator>
  <cp:lastModifiedBy>Мили</cp:lastModifiedBy>
  <cp:revision>2</cp:revision>
  <dcterms:created xsi:type="dcterms:W3CDTF">2013-03-31T14:46:00Z</dcterms:created>
  <dcterms:modified xsi:type="dcterms:W3CDTF">2013-03-31T14:46:00Z</dcterms:modified>
</cp:coreProperties>
</file>