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УДК 622.232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jc w:val="both"/>
        <w:rPr>
          <w:b/>
          <w:caps/>
          <w:sz w:val="28"/>
          <w:szCs w:val="28"/>
        </w:rPr>
      </w:pPr>
      <w:bookmarkStart w:id="0" w:name="_GoBack"/>
      <w:r w:rsidRPr="00934171">
        <w:rPr>
          <w:b/>
          <w:caps/>
          <w:sz w:val="28"/>
          <w:szCs w:val="28"/>
        </w:rPr>
        <w:t>Идентификация состояния механических узлов очистного комбайна</w:t>
      </w:r>
      <w:bookmarkEnd w:id="0"/>
    </w:p>
    <w:p w:rsidR="00D522C0" w:rsidRPr="00934171" w:rsidRDefault="00D522C0" w:rsidP="00D522C0">
      <w:pPr>
        <w:jc w:val="both"/>
        <w:rPr>
          <w:b/>
          <w:sz w:val="28"/>
          <w:szCs w:val="28"/>
        </w:rPr>
      </w:pPr>
    </w:p>
    <w:p w:rsidR="00D522C0" w:rsidRPr="00934171" w:rsidRDefault="00D522C0" w:rsidP="00D522C0">
      <w:pPr>
        <w:jc w:val="both"/>
        <w:rPr>
          <w:b/>
          <w:sz w:val="28"/>
          <w:szCs w:val="28"/>
        </w:rPr>
      </w:pPr>
      <w:r w:rsidRPr="00934171">
        <w:rPr>
          <w:b/>
          <w:sz w:val="28"/>
          <w:szCs w:val="28"/>
        </w:rPr>
        <w:t>Мельничук А.С., студент; Гавриленко Б.В., к.т.н. (</w:t>
      </w:r>
      <w:r w:rsidRPr="00934171">
        <w:rPr>
          <w:b/>
          <w:sz w:val="28"/>
          <w:szCs w:val="28"/>
          <w:lang w:val="en-US"/>
        </w:rPr>
        <w:t>Ph</w:t>
      </w:r>
      <w:r w:rsidRPr="00934171">
        <w:rPr>
          <w:b/>
          <w:sz w:val="28"/>
          <w:szCs w:val="28"/>
        </w:rPr>
        <w:t>.</w:t>
      </w:r>
      <w:r w:rsidRPr="00934171">
        <w:rPr>
          <w:b/>
          <w:sz w:val="28"/>
          <w:szCs w:val="28"/>
          <w:lang w:val="en-US"/>
        </w:rPr>
        <w:t>D</w:t>
      </w:r>
      <w:r w:rsidRPr="00934171">
        <w:rPr>
          <w:b/>
          <w:sz w:val="28"/>
          <w:szCs w:val="28"/>
        </w:rPr>
        <w:t>.), доцент</w:t>
      </w:r>
    </w:p>
    <w:p w:rsidR="00D522C0" w:rsidRPr="00934171" w:rsidRDefault="00D522C0" w:rsidP="00D522C0">
      <w:pPr>
        <w:jc w:val="both"/>
        <w:rPr>
          <w:i/>
          <w:sz w:val="28"/>
          <w:szCs w:val="28"/>
        </w:rPr>
      </w:pPr>
      <w:r w:rsidRPr="00934171">
        <w:rPr>
          <w:i/>
          <w:sz w:val="28"/>
          <w:szCs w:val="28"/>
        </w:rPr>
        <w:t>(Донецкий национальный технический университет, г.Донецк, Украина)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Очистной комбайн является сложной мехатронной системой, элементы которой, в процессе эксплуатации испытывают значительные динамические нагрузки. Появления  дефектов приводят к внезапным поломкам и отказам горной техники. Для увеличения продолжительности службы горной машины, необходимо диагностировать состояние узлов и агрегатов. 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В настоящее время данному вопросу не уделяется достаточного внимания, ввиду отсутствия систем непрерывной диагностики и прогнозирования состояния механических узлов очистного комбайна. Разработка систем непрерывного контроля состояния механических элементов и узлов позволяет повысить надежность очистного комбайна, увеличить производительность и экономическую эффективность.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Одним из эффективных способов контроля и прогнозирования состояния механических элементов и узлов комбайна является виброакустическая диагностика, основанная на применение спектрального анализа к непрерывному потоку изменяющихся вибрационных характеристик системы.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Идентификация состояния механических узлов выявляет повышение амплитуды вибрации на частотах, совпадающих с частотами возможных повреждений элементов, резонансных частотах деталей, на частотах протекания рабочего процесса и помогает быстро обнаружить и идентифицировать неисправность на ранних стадиях ее зарождения и развития[1].Классическим методом спектрального анализа является применения прямого преобразования Фурье для разложения сигнала в частотный спектр: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position w:val="-32"/>
          <w:sz w:val="28"/>
          <w:szCs w:val="28"/>
        </w:rPr>
        <w:object w:dxaOrig="2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8.25pt" o:ole="">
            <v:imagedata r:id="rId6" o:title=""/>
          </v:shape>
          <o:OLEObject Type="Embed" ProgID="Equation.3" ShapeID="_x0000_i1025" DrawAspect="Content" ObjectID="_1400004876" r:id="rId7"/>
        </w:object>
      </w:r>
      <w:r w:rsidRPr="00934171">
        <w:rPr>
          <w:sz w:val="28"/>
          <w:szCs w:val="28"/>
        </w:rPr>
        <w:t xml:space="preserve">                                                    (1)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Для цифрового сигнала спектральная функция последовательности информационных  сигналов определяется из выражения: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  <w:lang w:val="uk-UA"/>
        </w:rPr>
        <w:t xml:space="preserve">                                         </w:t>
      </w:r>
      <w:r w:rsidRPr="00934171">
        <w:rPr>
          <w:position w:val="-28"/>
          <w:sz w:val="28"/>
          <w:szCs w:val="28"/>
          <w:lang w:val="uk-UA"/>
        </w:rPr>
        <w:object w:dxaOrig="2520" w:dyaOrig="680">
          <v:shape id="_x0000_i1026" type="#_x0000_t75" style="width:126pt;height:33.75pt" o:ole="" fillcolor="window">
            <v:imagedata r:id="rId8" o:title=""/>
          </v:shape>
          <o:OLEObject Type="Embed" ProgID="Equation.3" ShapeID="_x0000_i1026" DrawAspect="Content" ObjectID="_1400004877" r:id="rId9"/>
        </w:object>
      </w:r>
      <w:r w:rsidRPr="00934171">
        <w:rPr>
          <w:sz w:val="28"/>
          <w:szCs w:val="28"/>
          <w:lang w:val="uk-UA"/>
        </w:rPr>
        <w:t xml:space="preserve">                                             (2)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Выражение (2) программно не может быть реализовано, так как предусматривает наличие бесконечного числа составляющих. Для практической реализации задачи применяется конечное число составляющих аналогово сигнала, в виде дискретного преобразования Фурье[2]:</w:t>
      </w:r>
    </w:p>
    <w:p w:rsidR="00D522C0" w:rsidRPr="00934171" w:rsidRDefault="00D522C0" w:rsidP="00D522C0">
      <w:pPr>
        <w:ind w:firstLine="720"/>
        <w:jc w:val="both"/>
        <w:rPr>
          <w:sz w:val="28"/>
          <w:szCs w:val="28"/>
          <w:lang w:val="uk-UA"/>
        </w:rPr>
      </w:pPr>
      <w:r w:rsidRPr="00934171">
        <w:rPr>
          <w:sz w:val="28"/>
          <w:szCs w:val="28"/>
        </w:rPr>
        <w:lastRenderedPageBreak/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position w:val="-28"/>
          <w:sz w:val="28"/>
          <w:szCs w:val="28"/>
          <w:lang w:val="uk-UA"/>
        </w:rPr>
        <w:object w:dxaOrig="4540" w:dyaOrig="680">
          <v:shape id="_x0000_i1027" type="#_x0000_t75" style="width:227.25pt;height:33.75pt" o:ole="" fillcolor="window">
            <v:imagedata r:id="rId10" o:title=""/>
          </v:shape>
          <o:OLEObject Type="Embed" ProgID="Equation.3" ShapeID="_x0000_i1027" DrawAspect="Content" ObjectID="_1400004878" r:id="rId11"/>
        </w:object>
      </w:r>
      <w:r w:rsidRPr="00934171">
        <w:rPr>
          <w:sz w:val="28"/>
          <w:szCs w:val="28"/>
          <w:lang w:val="uk-UA"/>
        </w:rPr>
        <w:tab/>
        <w:t xml:space="preserve">  </w:t>
      </w:r>
      <w:r w:rsidRPr="00934171">
        <w:rPr>
          <w:sz w:val="28"/>
          <w:szCs w:val="28"/>
          <w:lang w:val="uk-UA"/>
        </w:rPr>
        <w:tab/>
        <w:t xml:space="preserve">           (3)</w:t>
      </w:r>
    </w:p>
    <w:p w:rsidR="00D522C0" w:rsidRPr="00934171" w:rsidRDefault="00D522C0" w:rsidP="00D522C0">
      <w:pPr>
        <w:jc w:val="both"/>
        <w:rPr>
          <w:sz w:val="28"/>
          <w:szCs w:val="28"/>
          <w:lang w:val="uk-UA"/>
        </w:rPr>
      </w:pPr>
      <w:r w:rsidRPr="00934171">
        <w:rPr>
          <w:sz w:val="28"/>
          <w:szCs w:val="28"/>
          <w:lang w:val="uk-UA"/>
        </w:rPr>
        <w:t xml:space="preserve">где </w:t>
      </w:r>
      <w:r w:rsidRPr="00934171">
        <w:rPr>
          <w:sz w:val="28"/>
          <w:szCs w:val="28"/>
          <w:lang w:val="uk-UA"/>
        </w:rPr>
        <w:tab/>
        <w:t xml:space="preserve">k=0,1...N-1, </w:t>
      </w:r>
      <w:r w:rsidRPr="00934171">
        <w:rPr>
          <w:position w:val="-6"/>
          <w:sz w:val="28"/>
          <w:szCs w:val="28"/>
          <w:lang w:val="uk-UA"/>
        </w:rPr>
        <w:object w:dxaOrig="820" w:dyaOrig="420">
          <v:shape id="_x0000_i1028" type="#_x0000_t75" style="width:41.25pt;height:21pt" o:ole="" fillcolor="window">
            <v:imagedata r:id="rId12" o:title=""/>
          </v:shape>
          <o:OLEObject Type="Embed" ProgID="Equation.3" ShapeID="_x0000_i1028" DrawAspect="Content" ObjectID="_1400004879" r:id="rId13"/>
        </w:object>
      </w:r>
      <w:r w:rsidRPr="00934171">
        <w:rPr>
          <w:sz w:val="28"/>
          <w:szCs w:val="28"/>
          <w:lang w:val="uk-UA"/>
        </w:rPr>
        <w:t xml:space="preserve"> </w:t>
      </w:r>
      <w:r w:rsidRPr="00934171">
        <w:rPr>
          <w:position w:val="-6"/>
          <w:sz w:val="28"/>
          <w:szCs w:val="28"/>
          <w:lang w:val="uk-UA"/>
        </w:rPr>
        <w:object w:dxaOrig="1200" w:dyaOrig="420">
          <v:shape id="_x0000_i1029" type="#_x0000_t75" style="width:60pt;height:21pt" o:ole="" fillcolor="window">
            <v:imagedata r:id="rId14" o:title=""/>
          </v:shape>
          <o:OLEObject Type="Embed" ProgID="Equation.3" ShapeID="_x0000_i1029" DrawAspect="Content" ObjectID="_1400004880" r:id="rId15"/>
        </w:object>
      </w:r>
      <w:r w:rsidRPr="00934171">
        <w:rPr>
          <w:sz w:val="28"/>
          <w:szCs w:val="28"/>
          <w:lang w:val="uk-UA"/>
        </w:rPr>
        <w:t xml:space="preserve">  -  весовая функция.</w:t>
      </w:r>
    </w:p>
    <w:p w:rsidR="00D522C0" w:rsidRPr="00934171" w:rsidRDefault="00D522C0" w:rsidP="00D522C0">
      <w:pPr>
        <w:jc w:val="both"/>
        <w:rPr>
          <w:sz w:val="28"/>
          <w:szCs w:val="28"/>
          <w:lang w:val="uk-UA"/>
        </w:rPr>
      </w:pPr>
      <w:r w:rsidRPr="00934171">
        <w:rPr>
          <w:sz w:val="28"/>
          <w:szCs w:val="28"/>
          <w:lang w:val="uk-UA"/>
        </w:rPr>
        <w:tab/>
        <w:t xml:space="preserve">При использовании метода спектрального анализа ставится задача анализа и идентификации его гармонических состовляющих. Анализе спектра на определенных частотах позволяет определить вид дефекта и стадию его развития. в работе механических узлов машины: дисбаланс ротора двигателя; неравномерность воздушного зазора валов редукторов и передач; 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  <w:lang w:val="uk-UA"/>
        </w:rPr>
        <w:t xml:space="preserve"> дефекты потшипников качения; дефекты, вызванные ассиметрией питающего напряжения сети.[</w:t>
      </w:r>
      <w:r w:rsidRPr="00934171">
        <w:rPr>
          <w:sz w:val="28"/>
          <w:szCs w:val="28"/>
        </w:rPr>
        <w:t>3].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ab/>
        <w:t>С целью разработки системы виброакустической диагностики состояния механических узлов и агрегатов на наличие дефектов моделирование осуществлялось в среде M</w:t>
      </w:r>
      <w:r w:rsidRPr="00934171">
        <w:rPr>
          <w:sz w:val="28"/>
          <w:szCs w:val="28"/>
          <w:lang w:val="en-US"/>
        </w:rPr>
        <w:t>athCad</w:t>
      </w:r>
      <w:r w:rsidRPr="00934171">
        <w:rPr>
          <w:sz w:val="28"/>
          <w:szCs w:val="28"/>
        </w:rPr>
        <w:t>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  <w:lang w:val="uk-UA"/>
        </w:rPr>
        <w:tab/>
      </w:r>
      <w:r w:rsidRPr="00934171">
        <w:rPr>
          <w:sz w:val="28"/>
          <w:szCs w:val="28"/>
        </w:rPr>
        <w:t>Частоту вибрации при дисбалансе ротора определяется из выражения: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position w:val="-24"/>
          <w:sz w:val="28"/>
          <w:szCs w:val="28"/>
        </w:rPr>
        <w:object w:dxaOrig="760" w:dyaOrig="620">
          <v:shape id="_x0000_i1030" type="#_x0000_t75" style="width:38.25pt;height:30.75pt" o:ole="" fillcolor="window">
            <v:imagedata r:id="rId16" o:title=""/>
          </v:shape>
          <o:OLEObject Type="Embed" ProgID="Equation.3" ShapeID="_x0000_i1030" DrawAspect="Content" ObjectID="_1400004881" r:id="rId17"/>
        </w:object>
      </w:r>
      <w:r w:rsidRPr="00934171">
        <w:rPr>
          <w:sz w:val="28"/>
          <w:szCs w:val="28"/>
        </w:rPr>
        <w:t>,</w: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  <w:t xml:space="preserve">                     (4)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где </w:t>
      </w:r>
      <w:r w:rsidRPr="00934171">
        <w:rPr>
          <w:sz w:val="28"/>
          <w:szCs w:val="28"/>
        </w:rPr>
        <w:tab/>
      </w:r>
      <w:r w:rsidRPr="00934171">
        <w:rPr>
          <w:position w:val="-10"/>
          <w:sz w:val="28"/>
          <w:szCs w:val="28"/>
        </w:rPr>
        <w:object w:dxaOrig="240" w:dyaOrig="340">
          <v:shape id="_x0000_i1031" type="#_x0000_t75" style="width:12pt;height:17.25pt" o:ole="" fillcolor="window">
            <v:imagedata r:id="rId18" o:title=""/>
          </v:shape>
          <o:OLEObject Type="Embed" ProgID="Equation.3" ShapeID="_x0000_i1031" DrawAspect="Content" ObjectID="_1400004882" r:id="rId19"/>
        </w:object>
      </w:r>
      <w:r w:rsidRPr="00934171">
        <w:rPr>
          <w:sz w:val="28"/>
          <w:szCs w:val="28"/>
        </w:rPr>
        <w:t xml:space="preserve"> - синхронная частота вращения вала двигателя, об/мин.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ab/>
        <w:t xml:space="preserve">Полученные в результате моделирования  временные характеристики и частотный спектр сигнала приведены на рисунке 1. Установлено, что при синхронной частоте вала двигателя </w:t>
      </w:r>
      <w:r w:rsidRPr="00934171">
        <w:rPr>
          <w:position w:val="-10"/>
          <w:sz w:val="28"/>
          <w:szCs w:val="28"/>
        </w:rPr>
        <w:object w:dxaOrig="1960" w:dyaOrig="340">
          <v:shape id="_x0000_i1032" type="#_x0000_t75" style="width:98.25pt;height:17.25pt" o:ole="" fillcolor="window">
            <v:imagedata r:id="rId20" o:title=""/>
          </v:shape>
          <o:OLEObject Type="Embed" ProgID="Equation.3" ShapeID="_x0000_i1032" DrawAspect="Content" ObjectID="_1400004883" r:id="rId21"/>
        </w:object>
      </w:r>
      <w:r w:rsidRPr="00934171">
        <w:rPr>
          <w:sz w:val="28"/>
          <w:szCs w:val="28"/>
          <w:lang w:val="uk-UA"/>
        </w:rPr>
        <w:t xml:space="preserve"> на частоте 25 Гц, отмечено значительное превышение амплитуды вибрации, как следствие проявление дифекта, вызванного дисбалансом ротора.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59531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65" y="21502"/>
                <wp:lineTo x="21565" y="0"/>
                <wp:lineTo x="0" y="0"/>
              </wp:wrapPolygon>
            </wp:wrapTight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Рисунок 1 - Временная характеристика и частотный спектр сигнала при дисбалансе ротора двигателя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Частоты вибраций при неравномерности воздушного зазора определяются из выражений: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position w:val="-24"/>
          <w:sz w:val="28"/>
          <w:szCs w:val="28"/>
        </w:rPr>
        <w:object w:dxaOrig="1640" w:dyaOrig="620">
          <v:shape id="_x0000_i1033" type="#_x0000_t75" style="width:81.75pt;height:30.75pt" o:ole="" fillcolor="window">
            <v:imagedata r:id="rId23" o:title=""/>
          </v:shape>
          <o:OLEObject Type="Embed" ProgID="Equation.3" ShapeID="_x0000_i1033" DrawAspect="Content" ObjectID="_1400004884" r:id="rId24"/>
        </w:object>
      </w:r>
      <w:r w:rsidRPr="00934171">
        <w:rPr>
          <w:sz w:val="28"/>
          <w:szCs w:val="28"/>
        </w:rPr>
        <w:t>,</w: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  <w:t xml:space="preserve">         (5)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position w:val="-28"/>
          <w:sz w:val="28"/>
          <w:szCs w:val="28"/>
        </w:rPr>
        <w:object w:dxaOrig="1880" w:dyaOrig="680">
          <v:shape id="_x0000_i1034" type="#_x0000_t75" style="width:93.75pt;height:33.75pt" o:ole="" fillcolor="window">
            <v:imagedata r:id="rId25" o:title=""/>
          </v:shape>
          <o:OLEObject Type="Embed" ProgID="Equation.3" ShapeID="_x0000_i1034" DrawAspect="Content" ObjectID="_1400004885" r:id="rId26"/>
        </w:objec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  <w:t>(6)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где </w:t>
      </w:r>
      <w:r w:rsidRPr="00934171">
        <w:rPr>
          <w:sz w:val="28"/>
          <w:szCs w:val="28"/>
          <w:lang w:val="en-GB"/>
        </w:rPr>
        <w:t>K</w:t>
      </w:r>
      <w:r w:rsidRPr="00934171">
        <w:rPr>
          <w:sz w:val="28"/>
          <w:szCs w:val="28"/>
        </w:rPr>
        <w:t xml:space="preserve"> = ±1; ±2; ±3;</w:t>
      </w:r>
      <w:r w:rsidRPr="00934171">
        <w:rPr>
          <w:sz w:val="28"/>
          <w:szCs w:val="28"/>
          <w:lang w:val="en-GB"/>
        </w:rPr>
        <w:t>z</w:t>
      </w:r>
      <w:r w:rsidRPr="00934171">
        <w:rPr>
          <w:sz w:val="28"/>
          <w:szCs w:val="28"/>
        </w:rPr>
        <w:t xml:space="preserve"> – число пазов ротора;</w:t>
      </w:r>
      <w:r w:rsidRPr="00934171">
        <w:rPr>
          <w:sz w:val="28"/>
          <w:szCs w:val="28"/>
          <w:lang w:val="en-GB"/>
        </w:rPr>
        <w:t>P</w:t>
      </w:r>
      <w:r w:rsidRPr="00934171">
        <w:rPr>
          <w:sz w:val="28"/>
          <w:szCs w:val="28"/>
        </w:rPr>
        <w:t xml:space="preserve"> – число пар полюсов; </w:t>
      </w:r>
      <w:r w:rsidRPr="00934171">
        <w:rPr>
          <w:i/>
          <w:sz w:val="28"/>
          <w:szCs w:val="28"/>
          <w:lang w:val="en-GB"/>
        </w:rPr>
        <w:t>f</w:t>
      </w:r>
      <w:r w:rsidRPr="00934171">
        <w:rPr>
          <w:sz w:val="28"/>
          <w:szCs w:val="28"/>
          <w:vertAlign w:val="subscript"/>
        </w:rPr>
        <w:t>0</w:t>
      </w:r>
      <w:r w:rsidRPr="00934171">
        <w:rPr>
          <w:sz w:val="28"/>
          <w:szCs w:val="28"/>
        </w:rPr>
        <w:t xml:space="preserve"> – частота сети, Гц.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Результат моделирования состояния механических узлов при неравномерности воздушного зазора для следующих значений параметров: </w:t>
      </w:r>
      <w:r w:rsidRPr="00934171">
        <w:rPr>
          <w:sz w:val="28"/>
          <w:szCs w:val="28"/>
          <w:lang w:val="en-GB"/>
        </w:rPr>
        <w:t>z</w:t>
      </w:r>
      <w:r w:rsidRPr="00934171">
        <w:rPr>
          <w:sz w:val="28"/>
          <w:szCs w:val="28"/>
        </w:rPr>
        <w:t xml:space="preserve">=20, </w:t>
      </w:r>
      <w:r w:rsidRPr="00934171">
        <w:rPr>
          <w:sz w:val="28"/>
          <w:szCs w:val="28"/>
          <w:lang w:val="en-GB"/>
        </w:rPr>
        <w:t>P</w:t>
      </w:r>
      <w:r w:rsidRPr="00934171">
        <w:rPr>
          <w:sz w:val="28"/>
          <w:szCs w:val="28"/>
        </w:rPr>
        <w:t xml:space="preserve">=2, </w:t>
      </w:r>
      <w:r w:rsidRPr="00934171">
        <w:rPr>
          <w:i/>
          <w:sz w:val="28"/>
          <w:szCs w:val="28"/>
          <w:lang w:val="en-GB"/>
        </w:rPr>
        <w:t>f</w:t>
      </w:r>
      <w:r w:rsidRPr="00934171">
        <w:rPr>
          <w:sz w:val="28"/>
          <w:szCs w:val="28"/>
          <w:vertAlign w:val="subscript"/>
        </w:rPr>
        <w:t>0</w:t>
      </w:r>
      <w:r w:rsidRPr="00934171">
        <w:rPr>
          <w:sz w:val="28"/>
          <w:szCs w:val="28"/>
        </w:rPr>
        <w:t>=50Гц приведены на рис.2.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6985</wp:posOffset>
            </wp:positionV>
            <wp:extent cx="59721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66" y="21400"/>
                <wp:lineTo x="21566" y="0"/>
                <wp:lineTo x="0" y="0"/>
              </wp:wrapPolygon>
            </wp:wrapTight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Рисунок 2 - Временная характеристика и частотный спектр сигнала при неравномерном воздушном зазоре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Анализ полученных данных выявил значительное превышение амплитуды сигнала на частоте 150(Гц), что вызвано отклонением оси вала двигателя от нормы и увеличение усталостных явлений в металле. 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Опыт эксплуатации очистных комбайнов на  шахтах показывает наличие дефектов на дорожках качения колец подшипника. Частота вибрации в этом случае определяется из выражения: 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position w:val="-32"/>
          <w:sz w:val="28"/>
          <w:szCs w:val="28"/>
        </w:rPr>
        <w:object w:dxaOrig="1880" w:dyaOrig="760">
          <v:shape id="_x0000_i1035" type="#_x0000_t75" style="width:93.75pt;height:38.25pt" o:ole="" fillcolor="window">
            <v:imagedata r:id="rId28" o:title=""/>
          </v:shape>
          <o:OLEObject Type="Embed" ProgID="Equation.3" ShapeID="_x0000_i1035" DrawAspect="Content" ObjectID="_1400004886" r:id="rId29"/>
        </w:object>
      </w:r>
      <w:r w:rsidRPr="00934171">
        <w:rPr>
          <w:sz w:val="28"/>
          <w:szCs w:val="28"/>
        </w:rPr>
        <w:t>,</w: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  <w:t>(7)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где К</w:t>
      </w:r>
      <w:r w:rsidRPr="00934171">
        <w:rPr>
          <w:sz w:val="28"/>
          <w:szCs w:val="28"/>
          <w:vertAlign w:val="subscript"/>
        </w:rPr>
        <w:t>1</w:t>
      </w:r>
      <w:r w:rsidRPr="00934171">
        <w:rPr>
          <w:sz w:val="28"/>
          <w:szCs w:val="28"/>
        </w:rPr>
        <w:t xml:space="preserve"> – число дефектов на дорожках качения колец подшипника;</w: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  <w:lang w:val="en-GB"/>
        </w:rPr>
        <w:t>z</w:t>
      </w:r>
      <w:r w:rsidRPr="00934171">
        <w:rPr>
          <w:sz w:val="28"/>
          <w:szCs w:val="28"/>
        </w:rPr>
        <w:t xml:space="preserve"> – число тел качения; </w:t>
      </w:r>
      <w:r w:rsidRPr="00934171">
        <w:rPr>
          <w:sz w:val="28"/>
          <w:szCs w:val="28"/>
          <w:lang w:val="en-GB"/>
        </w:rPr>
        <w:t>d</w:t>
      </w:r>
      <w:r w:rsidRPr="00934171">
        <w:rPr>
          <w:sz w:val="28"/>
          <w:szCs w:val="28"/>
        </w:rPr>
        <w:t xml:space="preserve"> – диаметр тел качения;</w: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  <w:lang w:val="en-GB"/>
        </w:rPr>
        <w:t>D</w:t>
      </w:r>
      <w:r w:rsidRPr="00934171">
        <w:rPr>
          <w:sz w:val="28"/>
          <w:szCs w:val="28"/>
          <w:vertAlign w:val="subscript"/>
        </w:rPr>
        <w:t>0</w:t>
      </w:r>
      <w:r w:rsidRPr="00934171">
        <w:rPr>
          <w:sz w:val="28"/>
          <w:szCs w:val="28"/>
        </w:rPr>
        <w:t xml:space="preserve"> – диаметр окружности центров тел качения.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Моделирование состояния подшипников происходило при следующих значениях параметров: К</w:t>
      </w:r>
      <w:r w:rsidRPr="00934171">
        <w:rPr>
          <w:sz w:val="28"/>
          <w:szCs w:val="28"/>
          <w:vertAlign w:val="subscript"/>
        </w:rPr>
        <w:t xml:space="preserve">1 </w:t>
      </w:r>
      <w:r w:rsidRPr="00934171">
        <w:rPr>
          <w:sz w:val="28"/>
          <w:szCs w:val="28"/>
        </w:rPr>
        <w:t xml:space="preserve">=5; </w:t>
      </w:r>
      <w:r w:rsidRPr="00934171">
        <w:rPr>
          <w:sz w:val="28"/>
          <w:szCs w:val="28"/>
          <w:lang w:val="en-GB"/>
        </w:rPr>
        <w:t>z</w:t>
      </w:r>
      <w:r w:rsidRPr="00934171">
        <w:rPr>
          <w:sz w:val="28"/>
          <w:szCs w:val="28"/>
        </w:rPr>
        <w:t xml:space="preserve">=12; </w:t>
      </w:r>
      <w:r w:rsidRPr="00934171">
        <w:rPr>
          <w:sz w:val="28"/>
          <w:szCs w:val="28"/>
          <w:lang w:val="en-GB"/>
        </w:rPr>
        <w:t>d</w:t>
      </w:r>
      <w:r w:rsidRPr="00934171">
        <w:rPr>
          <w:sz w:val="28"/>
          <w:szCs w:val="28"/>
        </w:rPr>
        <w:t xml:space="preserve">=120мм; </w:t>
      </w:r>
      <w:r w:rsidRPr="00934171">
        <w:rPr>
          <w:sz w:val="28"/>
          <w:szCs w:val="28"/>
          <w:lang w:val="en-GB"/>
        </w:rPr>
        <w:t>D</w:t>
      </w:r>
      <w:r w:rsidRPr="00934171">
        <w:rPr>
          <w:sz w:val="28"/>
          <w:szCs w:val="28"/>
          <w:vertAlign w:val="subscript"/>
        </w:rPr>
        <w:t>0</w:t>
      </w:r>
      <w:r w:rsidRPr="00934171">
        <w:rPr>
          <w:sz w:val="28"/>
          <w:szCs w:val="28"/>
        </w:rPr>
        <w:t>=50мм (рис 3).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>В результате испытаний было установлено следующее: частота идентификации механического дефекта напрямую зависит от количества дефектов и соотношения диаметров тел качения, что затрудняет его выявление.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61150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533" y="21504"/>
                <wp:lineTo x="21533" y="0"/>
                <wp:lineTo x="0" y="0"/>
              </wp:wrapPolygon>
            </wp:wrapTight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Рисунок 3 - Временная характеристика и частотный спектр сигнала при дефектах подшипников.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ab/>
        <w:t>Частота идентификации дефекта, вызванного асимметрией питающего напряжения (рис. 3) определяется из выражения: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position w:val="-12"/>
          <w:sz w:val="28"/>
          <w:szCs w:val="28"/>
        </w:rPr>
        <w:object w:dxaOrig="1040" w:dyaOrig="360">
          <v:shape id="_x0000_i1036" type="#_x0000_t75" style="width:51.75pt;height:18pt" o:ole="" fillcolor="window">
            <v:imagedata r:id="rId31" o:title=""/>
          </v:shape>
          <o:OLEObject Type="Embed" ProgID="Equation.3" ShapeID="_x0000_i1036" DrawAspect="Content" ObjectID="_1400004887" r:id="rId32"/>
        </w:object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</w:r>
      <w:r w:rsidRPr="00934171">
        <w:rPr>
          <w:sz w:val="28"/>
          <w:szCs w:val="28"/>
        </w:rPr>
        <w:tab/>
        <w:t xml:space="preserve">           (8)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95885</wp:posOffset>
            </wp:positionV>
            <wp:extent cx="58674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Рисунок 4 - Временная характеристика и частотный спектр сигнала при асимметрии питающего напряжения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 Установлено, что при частоте питающей сети 50Гц значительное увеличение амплитуды сигнала происходит на частоте 100Гц, но при определенных условиях данная частота совпадает с частотой идентификации неравномерного воздушного зазора, и для их дифференциации требуется дополнительные признаки виброакустической диагностики.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Таким образом, применение метода и средств спектрального при диагностики  состоянии механических узлов и агрегатов очистной машины позволяет определить на ранней стадии вид дефекта, произвести прогноз его развития и предусмотреть меры по недопущению его дальнейшего развития. </w:t>
      </w:r>
    </w:p>
    <w:p w:rsidR="00D522C0" w:rsidRPr="00934171" w:rsidRDefault="00D522C0" w:rsidP="00D522C0">
      <w:pPr>
        <w:ind w:firstLine="708"/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Идентификация состояния узлов очистного комбайна исключает внезапные отказы механической части и повышает долговечность ее агрегатов и узлов. 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</w:p>
    <w:p w:rsidR="00D522C0" w:rsidRPr="00934171" w:rsidRDefault="00D522C0" w:rsidP="00D522C0">
      <w:pPr>
        <w:jc w:val="center"/>
        <w:rPr>
          <w:sz w:val="28"/>
          <w:szCs w:val="28"/>
        </w:rPr>
      </w:pPr>
      <w:r w:rsidRPr="00934171">
        <w:rPr>
          <w:sz w:val="28"/>
          <w:szCs w:val="28"/>
        </w:rPr>
        <w:t>Перечень ссылок</w:t>
      </w:r>
    </w:p>
    <w:p w:rsidR="00D522C0" w:rsidRPr="00934171" w:rsidRDefault="00D522C0" w:rsidP="00D522C0">
      <w:pPr>
        <w:jc w:val="both"/>
        <w:rPr>
          <w:bCs/>
          <w:sz w:val="28"/>
          <w:szCs w:val="28"/>
        </w:rPr>
      </w:pPr>
      <w:r w:rsidRPr="00934171">
        <w:rPr>
          <w:sz w:val="28"/>
          <w:szCs w:val="28"/>
        </w:rPr>
        <w:t xml:space="preserve">1. </w:t>
      </w:r>
      <w:r w:rsidRPr="00934171">
        <w:rPr>
          <w:bCs/>
          <w:sz w:val="28"/>
          <w:szCs w:val="28"/>
        </w:rPr>
        <w:t xml:space="preserve">В.М. Кравченко, В.А. Сидоров. Техническое диагностирование механических узлов оборудования. Учебник, Донецк, 2006. Часть 2 -       </w:t>
      </w:r>
    </w:p>
    <w:p w:rsidR="00D522C0" w:rsidRPr="00934171" w:rsidRDefault="00D522C0" w:rsidP="00D522C0">
      <w:pPr>
        <w:jc w:val="both"/>
        <w:rPr>
          <w:bCs/>
          <w:sz w:val="28"/>
          <w:szCs w:val="28"/>
        </w:rPr>
      </w:pPr>
      <w:r w:rsidRPr="00934171">
        <w:rPr>
          <w:bCs/>
          <w:sz w:val="28"/>
          <w:szCs w:val="28"/>
        </w:rPr>
        <w:t xml:space="preserve">   Практика технического диагностирования.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2. Бендат Дж., Пирсол А. Применение корреляционного и спектрального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 xml:space="preserve">   анализа: Пер. с англ.- М: Мир, 1983. - 312с.</w:t>
      </w:r>
    </w:p>
    <w:p w:rsidR="00D522C0" w:rsidRPr="00934171" w:rsidRDefault="00D522C0" w:rsidP="00D522C0">
      <w:pPr>
        <w:jc w:val="both"/>
        <w:rPr>
          <w:sz w:val="28"/>
          <w:szCs w:val="28"/>
        </w:rPr>
      </w:pPr>
      <w:r w:rsidRPr="00934171">
        <w:rPr>
          <w:sz w:val="28"/>
          <w:szCs w:val="28"/>
        </w:rPr>
        <w:t>3. Алесенко В.В. Вибрации в технике. Справочник Том 5</w:t>
      </w:r>
      <w:r w:rsidRPr="00934171">
        <w:rPr>
          <w:sz w:val="28"/>
          <w:szCs w:val="28"/>
          <w:lang w:val="en-US"/>
        </w:rPr>
        <w:t>, М.</w:t>
      </w:r>
      <w:r w:rsidRPr="00934171">
        <w:rPr>
          <w:sz w:val="28"/>
          <w:szCs w:val="28"/>
        </w:rPr>
        <w:t xml:space="preserve"> 1981. – 496с.</w:t>
      </w:r>
    </w:p>
    <w:p w:rsidR="00D522C0" w:rsidRDefault="00D522C0" w:rsidP="00D522C0">
      <w:pPr>
        <w:jc w:val="both"/>
        <w:rPr>
          <w:lang w:val="en-US"/>
        </w:rPr>
      </w:pPr>
    </w:p>
    <w:p w:rsidR="006B24A4" w:rsidRPr="00D522C0" w:rsidRDefault="006B24A4" w:rsidP="00D522C0"/>
    <w:sectPr w:rsidR="006B24A4" w:rsidRPr="00D522C0">
      <w:footerReference w:type="even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522C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D522C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D522C0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D522C0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7800"/>
    <w:rsid w:val="00333700"/>
    <w:rsid w:val="003E40D6"/>
    <w:rsid w:val="00432F49"/>
    <w:rsid w:val="00481219"/>
    <w:rsid w:val="0058014D"/>
    <w:rsid w:val="005916FD"/>
    <w:rsid w:val="005934B3"/>
    <w:rsid w:val="006B24A4"/>
    <w:rsid w:val="00775A36"/>
    <w:rsid w:val="00776873"/>
    <w:rsid w:val="009223B2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2012-05-31T18:26:00Z</dcterms:created>
  <dcterms:modified xsi:type="dcterms:W3CDTF">2012-05-31T18:26:00Z</dcterms:modified>
</cp:coreProperties>
</file>