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83" w:rsidRPr="00CE25FF" w:rsidRDefault="00F27983" w:rsidP="00F27983">
      <w:pPr>
        <w:pStyle w:val="ac"/>
        <w:spacing w:before="0" w:after="0" w:line="240" w:lineRule="auto"/>
        <w:ind w:left="0" w:firstLine="0"/>
        <w:rPr>
          <w:lang w:val="ru-RU"/>
        </w:rPr>
      </w:pPr>
      <w:r>
        <w:rPr>
          <w:lang w:val="ru-RU"/>
        </w:rPr>
        <w:t>УДК 622.232</w:t>
      </w:r>
    </w:p>
    <w:p w:rsidR="00F27983" w:rsidRPr="00CE25FF" w:rsidRDefault="00F27983" w:rsidP="00F27983">
      <w:pPr>
        <w:pStyle w:val="aa"/>
        <w:spacing w:line="240" w:lineRule="auto"/>
        <w:rPr>
          <w:lang w:val="ru-RU"/>
        </w:rPr>
      </w:pPr>
    </w:p>
    <w:p w:rsidR="00F27983" w:rsidRPr="0035737F" w:rsidRDefault="00F27983" w:rsidP="00F27983">
      <w:pPr>
        <w:pStyle w:val="ac"/>
        <w:spacing w:before="0" w:after="0" w:line="240" w:lineRule="auto"/>
        <w:ind w:left="0" w:firstLine="0"/>
        <w:jc w:val="left"/>
        <w:rPr>
          <w:b/>
          <w:caps/>
          <w:szCs w:val="28"/>
          <w:lang w:val="ru-RU"/>
        </w:rPr>
      </w:pPr>
      <w:r>
        <w:rPr>
          <w:b/>
          <w:caps/>
          <w:szCs w:val="28"/>
          <w:lang w:val="ru-RU"/>
        </w:rPr>
        <w:t>ОСНОВНЫЕ</w:t>
      </w:r>
      <w:r w:rsidRPr="0035737F">
        <w:rPr>
          <w:b/>
          <w:caps/>
          <w:szCs w:val="28"/>
          <w:lang w:val="ru-RU"/>
        </w:rPr>
        <w:t xml:space="preserve"> Отличительные особенности очистных комбайнов нового поколения как динамико-энергетических и мехатронных систем</w:t>
      </w:r>
    </w:p>
    <w:p w:rsidR="00F27983" w:rsidRPr="0035737F" w:rsidRDefault="00F27983" w:rsidP="00F27983">
      <w:pPr>
        <w:pStyle w:val="aa"/>
        <w:spacing w:line="240" w:lineRule="auto"/>
        <w:rPr>
          <w:caps/>
          <w:szCs w:val="28"/>
          <w:lang w:val="ru-RU"/>
        </w:rPr>
      </w:pPr>
    </w:p>
    <w:p w:rsidR="00F27983" w:rsidRDefault="00F27983" w:rsidP="00F27983">
      <w:pPr>
        <w:pStyle w:val="aa"/>
        <w:spacing w:line="240" w:lineRule="auto"/>
        <w:ind w:firstLine="0"/>
        <w:rPr>
          <w:b/>
          <w:lang w:val="ru-RU"/>
        </w:rPr>
      </w:pPr>
      <w:r w:rsidRPr="0055584C">
        <w:rPr>
          <w:b/>
          <w:lang w:val="ru-RU"/>
        </w:rPr>
        <w:t xml:space="preserve">Горбатов П.А., </w:t>
      </w:r>
      <w:r>
        <w:rPr>
          <w:b/>
          <w:lang w:val="ru-RU"/>
        </w:rPr>
        <w:t>д.т.н., профессор</w:t>
      </w:r>
      <w:r w:rsidRPr="0055584C">
        <w:rPr>
          <w:b/>
          <w:lang w:val="ru-RU"/>
        </w:rPr>
        <w:t>; Лысенко М.Н., магистрант;</w:t>
      </w:r>
    </w:p>
    <w:p w:rsidR="00F27983" w:rsidRPr="0055584C" w:rsidRDefault="00F27983" w:rsidP="00F27983">
      <w:pPr>
        <w:pStyle w:val="aa"/>
        <w:spacing w:line="240" w:lineRule="auto"/>
        <w:ind w:firstLine="0"/>
        <w:rPr>
          <w:b/>
          <w:lang w:val="ru-RU"/>
        </w:rPr>
      </w:pPr>
      <w:r w:rsidRPr="0055584C">
        <w:rPr>
          <w:b/>
          <w:lang w:val="ru-RU"/>
        </w:rPr>
        <w:t xml:space="preserve">Перинский М. В., студент </w:t>
      </w:r>
    </w:p>
    <w:p w:rsidR="00F27983" w:rsidRPr="00CE25FF" w:rsidRDefault="00F27983" w:rsidP="00F27983">
      <w:pPr>
        <w:pStyle w:val="aa"/>
        <w:spacing w:line="240" w:lineRule="auto"/>
        <w:ind w:firstLine="0"/>
        <w:rPr>
          <w:i/>
          <w:lang w:val="ru-RU"/>
        </w:rPr>
      </w:pPr>
      <w:r w:rsidRPr="0055584C">
        <w:rPr>
          <w:i/>
          <w:lang w:val="ru-RU"/>
        </w:rPr>
        <w:t>(Донецкий национальный технический университет, г. Донецк, Украина)</w:t>
      </w:r>
    </w:p>
    <w:p w:rsidR="00F27983" w:rsidRPr="00CE25FF" w:rsidRDefault="00F27983" w:rsidP="00F27983">
      <w:pPr>
        <w:pStyle w:val="aa"/>
        <w:spacing w:line="240" w:lineRule="auto"/>
        <w:rPr>
          <w:lang w:val="ru-RU"/>
        </w:rPr>
      </w:pPr>
    </w:p>
    <w:p w:rsidR="00F27983" w:rsidRPr="000229C8" w:rsidRDefault="00F27983" w:rsidP="00F27983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>Основные отличительные особенности очистных комбайнов (</w:t>
      </w:r>
      <w:proofErr w:type="gramStart"/>
      <w:r w:rsidRPr="000229C8">
        <w:rPr>
          <w:lang w:val="ru-RU"/>
        </w:rPr>
        <w:t>ОК</w:t>
      </w:r>
      <w:proofErr w:type="gramEnd"/>
      <w:r w:rsidRPr="000229C8">
        <w:rPr>
          <w:lang w:val="ru-RU"/>
        </w:rPr>
        <w:t>)  нового поколения (отечественные машины КДК 400, КДК 500, КДК 700, УКД 300</w:t>
      </w:r>
      <w:r>
        <w:rPr>
          <w:lang w:val="ru-RU"/>
        </w:rPr>
        <w:t>, разработанные ГП «Донгипроуглемаш»</w:t>
      </w:r>
      <w:r w:rsidRPr="000229C8">
        <w:rPr>
          <w:lang w:val="ru-RU"/>
        </w:rPr>
        <w:t>) ц</w:t>
      </w:r>
      <w:r w:rsidRPr="000229C8">
        <w:rPr>
          <w:lang w:val="ru-RU"/>
        </w:rPr>
        <w:t>е</w:t>
      </w:r>
      <w:r w:rsidRPr="000229C8">
        <w:rPr>
          <w:lang w:val="ru-RU"/>
        </w:rPr>
        <w:t>лесообразно изложить, условно разбив их на нижеуказанные группы:</w:t>
      </w:r>
    </w:p>
    <w:p w:rsidR="00F27983" w:rsidRPr="000229C8" w:rsidRDefault="00F27983" w:rsidP="00F27983">
      <w:pPr>
        <w:pStyle w:val="aa"/>
        <w:spacing w:line="240" w:lineRule="auto"/>
        <w:rPr>
          <w:lang w:val="ru-RU"/>
        </w:rPr>
      </w:pPr>
      <w:r w:rsidRPr="000229C8">
        <w:rPr>
          <w:lang w:val="uk-UA"/>
        </w:rPr>
        <w:t xml:space="preserve">I. </w:t>
      </w:r>
      <w:r w:rsidRPr="000229C8">
        <w:rPr>
          <w:lang w:val="ru-RU"/>
        </w:rPr>
        <w:t>Оригинальные принципы структурных решений и конструктивного п</w:t>
      </w:r>
      <w:r w:rsidRPr="000229C8">
        <w:rPr>
          <w:lang w:val="ru-RU"/>
        </w:rPr>
        <w:t>о</w:t>
      </w:r>
      <w:r w:rsidRPr="000229C8">
        <w:rPr>
          <w:lang w:val="ru-RU"/>
        </w:rPr>
        <w:t>строения.</w:t>
      </w:r>
    </w:p>
    <w:p w:rsidR="00F27983" w:rsidRPr="000229C8" w:rsidRDefault="00F27983" w:rsidP="00F27983">
      <w:pPr>
        <w:pStyle w:val="aa"/>
        <w:spacing w:line="240" w:lineRule="auto"/>
        <w:ind w:hanging="425"/>
        <w:rPr>
          <w:lang w:val="ru-RU"/>
        </w:rPr>
      </w:pPr>
      <w:r w:rsidRPr="000229C8">
        <w:t>II</w:t>
      </w:r>
      <w:r w:rsidRPr="000229C8">
        <w:rPr>
          <w:lang w:val="ru-RU"/>
        </w:rPr>
        <w:t xml:space="preserve">. </w:t>
      </w:r>
      <w:r>
        <w:rPr>
          <w:lang w:val="ru-RU"/>
        </w:rPr>
        <w:t>Нового уровня</w:t>
      </w:r>
      <w:r w:rsidRPr="000229C8">
        <w:rPr>
          <w:lang w:val="ru-RU"/>
        </w:rPr>
        <w:t xml:space="preserve"> технически</w:t>
      </w:r>
      <w:r>
        <w:rPr>
          <w:lang w:val="ru-RU"/>
        </w:rPr>
        <w:t>е</w:t>
      </w:r>
      <w:r w:rsidRPr="000229C8">
        <w:rPr>
          <w:lang w:val="ru-RU"/>
        </w:rPr>
        <w:t xml:space="preserve"> параметр</w:t>
      </w:r>
      <w:r>
        <w:rPr>
          <w:lang w:val="ru-RU"/>
        </w:rPr>
        <w:t>ы</w:t>
      </w:r>
      <w:r w:rsidRPr="000229C8">
        <w:rPr>
          <w:lang w:val="ru-RU"/>
        </w:rPr>
        <w:t xml:space="preserve"> и характерист</w:t>
      </w:r>
      <w:r w:rsidRPr="000229C8">
        <w:rPr>
          <w:lang w:val="ru-RU"/>
        </w:rPr>
        <w:t>и</w:t>
      </w:r>
      <w:r w:rsidRPr="000229C8">
        <w:rPr>
          <w:lang w:val="ru-RU"/>
        </w:rPr>
        <w:t>к</w:t>
      </w:r>
      <w:r>
        <w:rPr>
          <w:lang w:val="ru-RU"/>
        </w:rPr>
        <w:t>и</w:t>
      </w:r>
      <w:r w:rsidRPr="000229C8">
        <w:rPr>
          <w:lang w:val="ru-RU"/>
        </w:rPr>
        <w:t>.</w:t>
      </w:r>
    </w:p>
    <w:p w:rsidR="00F27983" w:rsidRPr="000229C8" w:rsidRDefault="00F27983" w:rsidP="00F27983">
      <w:pPr>
        <w:pStyle w:val="aa"/>
        <w:spacing w:line="240" w:lineRule="auto"/>
        <w:ind w:hanging="425"/>
        <w:rPr>
          <w:lang w:val="ru-RU"/>
        </w:rPr>
      </w:pPr>
      <w:r w:rsidRPr="000229C8">
        <w:t>III</w:t>
      </w:r>
      <w:r w:rsidRPr="000229C8">
        <w:rPr>
          <w:lang w:val="ru-RU"/>
        </w:rPr>
        <w:t>. Особенности динамических параметров и свойств.</w:t>
      </w:r>
    </w:p>
    <w:p w:rsidR="00F27983" w:rsidRPr="000229C8" w:rsidRDefault="00F27983" w:rsidP="00F27983">
      <w:pPr>
        <w:pStyle w:val="aa"/>
        <w:spacing w:line="240" w:lineRule="auto"/>
        <w:ind w:hanging="425"/>
        <w:rPr>
          <w:lang w:val="ru-RU"/>
        </w:rPr>
      </w:pPr>
      <w:r w:rsidRPr="000229C8">
        <w:t>IV</w:t>
      </w:r>
      <w:r w:rsidRPr="000229C8">
        <w:rPr>
          <w:lang w:val="ru-RU"/>
        </w:rPr>
        <w:t>. Особенности мехатронизации.</w:t>
      </w:r>
    </w:p>
    <w:p w:rsidR="00F27983" w:rsidRPr="000229C8" w:rsidRDefault="00F27983" w:rsidP="00F27983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 xml:space="preserve">Отличительные особенности по группе </w:t>
      </w:r>
      <w:r w:rsidRPr="000229C8">
        <w:t>I</w:t>
      </w:r>
      <w:r w:rsidRPr="000229C8">
        <w:rPr>
          <w:lang w:val="ru-RU"/>
        </w:rPr>
        <w:t xml:space="preserve"> следующие.</w:t>
      </w:r>
    </w:p>
    <w:p w:rsidR="00F27983" w:rsidRPr="000229C8" w:rsidRDefault="00F27983" w:rsidP="00F27983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>1. Основные корпусные узлы выполняют в виде общего корпуса - мон</w:t>
      </w:r>
      <w:r w:rsidRPr="000229C8">
        <w:rPr>
          <w:lang w:val="ru-RU"/>
        </w:rPr>
        <w:t>о</w:t>
      </w:r>
      <w:r w:rsidRPr="000229C8">
        <w:rPr>
          <w:lang w:val="ru-RU"/>
        </w:rPr>
        <w:t xml:space="preserve">блока сварной конструкции коробчатой формы, имеющего отсеки для установки в них автономных съемных блоков различного функционального назначения, в т.ч. мехатронизированных или мехатронных. </w:t>
      </w:r>
    </w:p>
    <w:p w:rsidR="00F27983" w:rsidRPr="000229C8" w:rsidRDefault="00F27983" w:rsidP="00F27983">
      <w:pPr>
        <w:pStyle w:val="aa"/>
        <w:spacing w:line="240" w:lineRule="auto"/>
        <w:rPr>
          <w:lang w:val="ru-RU"/>
        </w:rPr>
      </w:pPr>
      <w:proofErr w:type="gramStart"/>
      <w:r w:rsidRPr="000229C8">
        <w:rPr>
          <w:lang w:val="ru-RU"/>
        </w:rPr>
        <w:t>При этом реализуются следующие преимущества:</w:t>
      </w:r>
      <w:r>
        <w:rPr>
          <w:lang w:val="ru-RU"/>
        </w:rPr>
        <w:t xml:space="preserve"> </w:t>
      </w:r>
      <w:r w:rsidRPr="000229C8">
        <w:rPr>
          <w:lang w:val="ru-RU"/>
        </w:rPr>
        <w:t>упрощаютс</w:t>
      </w:r>
      <w:r>
        <w:rPr>
          <w:lang w:val="ru-RU"/>
        </w:rPr>
        <w:t>я монтажно-</w:t>
      </w:r>
      <w:r w:rsidRPr="000229C8">
        <w:rPr>
          <w:lang w:val="ru-RU"/>
        </w:rPr>
        <w:t>демонтажные</w:t>
      </w:r>
      <w:r>
        <w:rPr>
          <w:lang w:val="ru-RU"/>
        </w:rPr>
        <w:t xml:space="preserve"> </w:t>
      </w:r>
      <w:r w:rsidRPr="000229C8">
        <w:rPr>
          <w:lang w:val="ru-RU"/>
        </w:rPr>
        <w:t>работы, техническое обслужив</w:t>
      </w:r>
      <w:r w:rsidRPr="000229C8">
        <w:rPr>
          <w:lang w:val="ru-RU"/>
        </w:rPr>
        <w:t>а</w:t>
      </w:r>
      <w:r w:rsidRPr="000229C8">
        <w:rPr>
          <w:lang w:val="ru-RU"/>
        </w:rPr>
        <w:t xml:space="preserve">ние и ремонт </w:t>
      </w:r>
      <w:r>
        <w:rPr>
          <w:lang w:val="ru-RU"/>
        </w:rPr>
        <w:t xml:space="preserve">применительно к </w:t>
      </w:r>
      <w:r w:rsidRPr="000229C8">
        <w:rPr>
          <w:lang w:val="ru-RU"/>
        </w:rPr>
        <w:t>автономны</w:t>
      </w:r>
      <w:r>
        <w:rPr>
          <w:lang w:val="ru-RU"/>
        </w:rPr>
        <w:t>м</w:t>
      </w:r>
      <w:r w:rsidRPr="000229C8">
        <w:rPr>
          <w:lang w:val="ru-RU"/>
        </w:rPr>
        <w:t xml:space="preserve"> блок</w:t>
      </w:r>
      <w:r>
        <w:rPr>
          <w:lang w:val="ru-RU"/>
        </w:rPr>
        <w:t>ам</w:t>
      </w:r>
      <w:r w:rsidRPr="000229C8">
        <w:rPr>
          <w:lang w:val="ru-RU"/>
        </w:rPr>
        <w:t>, к которым имеется хор</w:t>
      </w:r>
      <w:r w:rsidRPr="000229C8">
        <w:rPr>
          <w:lang w:val="ru-RU"/>
        </w:rPr>
        <w:t>о</w:t>
      </w:r>
      <w:r w:rsidRPr="000229C8">
        <w:rPr>
          <w:lang w:val="ru-RU"/>
        </w:rPr>
        <w:t>ший доступ;</w:t>
      </w:r>
      <w:r>
        <w:rPr>
          <w:lang w:val="ru-RU"/>
        </w:rPr>
        <w:t xml:space="preserve"> </w:t>
      </w:r>
      <w:r w:rsidRPr="000229C8">
        <w:rPr>
          <w:lang w:val="ru-RU"/>
        </w:rPr>
        <w:t xml:space="preserve">обеспечивается </w:t>
      </w:r>
      <w:r>
        <w:rPr>
          <w:lang w:val="ru-RU"/>
        </w:rPr>
        <w:t>требуемая</w:t>
      </w:r>
      <w:r w:rsidRPr="000229C8">
        <w:rPr>
          <w:lang w:val="ru-RU"/>
        </w:rPr>
        <w:t xml:space="preserve"> жесткость и прочность корпусных подси</w:t>
      </w:r>
      <w:r w:rsidRPr="000229C8">
        <w:rPr>
          <w:lang w:val="ru-RU"/>
        </w:rPr>
        <w:t>с</w:t>
      </w:r>
      <w:r w:rsidRPr="000229C8">
        <w:rPr>
          <w:lang w:val="ru-RU"/>
        </w:rPr>
        <w:t>тем;</w:t>
      </w:r>
      <w:r>
        <w:rPr>
          <w:lang w:val="ru-RU"/>
        </w:rPr>
        <w:t xml:space="preserve"> </w:t>
      </w:r>
      <w:r w:rsidRPr="000229C8">
        <w:rPr>
          <w:lang w:val="ru-RU"/>
        </w:rPr>
        <w:t>разгружаются корпуса съемных блоков от внешних технологических н</w:t>
      </w:r>
      <w:r w:rsidRPr="000229C8">
        <w:rPr>
          <w:lang w:val="ru-RU"/>
        </w:rPr>
        <w:t>а</w:t>
      </w:r>
      <w:r w:rsidRPr="000229C8">
        <w:rPr>
          <w:lang w:val="ru-RU"/>
        </w:rPr>
        <w:t>грузок и обеспечивается улучшение качества зубчатых зацеплений;</w:t>
      </w:r>
      <w:r>
        <w:rPr>
          <w:lang w:val="ru-RU"/>
        </w:rPr>
        <w:t xml:space="preserve"> </w:t>
      </w:r>
      <w:r w:rsidRPr="000229C8">
        <w:rPr>
          <w:lang w:val="ru-RU"/>
        </w:rPr>
        <w:t>не требуется диагностика и поддержание требуемого состояния мног</w:t>
      </w:r>
      <w:r w:rsidRPr="000229C8">
        <w:rPr>
          <w:lang w:val="ru-RU"/>
        </w:rPr>
        <w:t>о</w:t>
      </w:r>
      <w:r w:rsidRPr="000229C8">
        <w:rPr>
          <w:lang w:val="ru-RU"/>
        </w:rPr>
        <w:t>численных стыковочных соединений между отдельными корпусами;</w:t>
      </w:r>
      <w:proofErr w:type="gramEnd"/>
      <w:r>
        <w:rPr>
          <w:lang w:val="ru-RU"/>
        </w:rPr>
        <w:t xml:space="preserve"> </w:t>
      </w:r>
      <w:r w:rsidRPr="000229C8">
        <w:rPr>
          <w:lang w:val="ru-RU"/>
        </w:rPr>
        <w:t>создаются предпосылки для унификации и мобильного приспосаблив</w:t>
      </w:r>
      <w:r w:rsidRPr="000229C8">
        <w:rPr>
          <w:lang w:val="ru-RU"/>
        </w:rPr>
        <w:t>а</w:t>
      </w:r>
      <w:r w:rsidRPr="000229C8">
        <w:rPr>
          <w:lang w:val="ru-RU"/>
        </w:rPr>
        <w:t xml:space="preserve">ния </w:t>
      </w:r>
      <w:proofErr w:type="gramStart"/>
      <w:r w:rsidRPr="000229C8">
        <w:rPr>
          <w:lang w:val="ru-RU"/>
        </w:rPr>
        <w:t>ОК</w:t>
      </w:r>
      <w:proofErr w:type="gramEnd"/>
      <w:r w:rsidRPr="000229C8">
        <w:rPr>
          <w:lang w:val="ru-RU"/>
        </w:rPr>
        <w:t xml:space="preserve"> к конкретным условиям эксплуатации.</w:t>
      </w:r>
    </w:p>
    <w:p w:rsidR="00F27983" w:rsidRPr="000229C8" w:rsidRDefault="00F27983" w:rsidP="00F27983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>2. Подсистемы привода исполнительных органов (ИО) и подсистемы по</w:t>
      </w:r>
      <w:r w:rsidRPr="000229C8">
        <w:rPr>
          <w:lang w:val="ru-RU"/>
        </w:rPr>
        <w:t>д</w:t>
      </w:r>
      <w:r w:rsidRPr="000229C8">
        <w:rPr>
          <w:lang w:val="ru-RU"/>
        </w:rPr>
        <w:t>в</w:t>
      </w:r>
      <w:r>
        <w:rPr>
          <w:lang w:val="ru-RU"/>
        </w:rPr>
        <w:t>ески</w:t>
      </w:r>
      <w:r w:rsidRPr="000229C8">
        <w:rPr>
          <w:lang w:val="ru-RU"/>
        </w:rPr>
        <w:t xml:space="preserve"> и перемещения ИО выполняются на о</w:t>
      </w:r>
      <w:r>
        <w:rPr>
          <w:lang w:val="ru-RU"/>
        </w:rPr>
        <w:t>снове поворотных блоков резания (ПБР).</w:t>
      </w:r>
    </w:p>
    <w:p w:rsidR="00F27983" w:rsidRPr="000229C8" w:rsidRDefault="00F27983" w:rsidP="00F27983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>Достоинствами такого структурно-компоновочного решения, характер</w:t>
      </w:r>
      <w:r w:rsidRPr="000229C8">
        <w:rPr>
          <w:lang w:val="ru-RU"/>
        </w:rPr>
        <w:t>и</w:t>
      </w:r>
      <w:r w:rsidRPr="000229C8">
        <w:rPr>
          <w:lang w:val="ru-RU"/>
        </w:rPr>
        <w:t>зующегося поперечным расположением электродвигателей, явля</w:t>
      </w:r>
      <w:r>
        <w:rPr>
          <w:lang w:val="ru-RU"/>
        </w:rPr>
        <w:t>е</w:t>
      </w:r>
      <w:r w:rsidRPr="000229C8">
        <w:rPr>
          <w:lang w:val="ru-RU"/>
        </w:rPr>
        <w:t>тся:</w:t>
      </w:r>
      <w:r>
        <w:rPr>
          <w:lang w:val="ru-RU"/>
        </w:rPr>
        <w:t xml:space="preserve"> </w:t>
      </w:r>
      <w:r w:rsidRPr="000229C8">
        <w:rPr>
          <w:lang w:val="ru-RU"/>
        </w:rPr>
        <w:t>исключение недостаточно надежной конической передачи;</w:t>
      </w:r>
      <w:r>
        <w:rPr>
          <w:lang w:val="ru-RU"/>
        </w:rPr>
        <w:t xml:space="preserve"> </w:t>
      </w:r>
      <w:r w:rsidRPr="000229C8">
        <w:rPr>
          <w:lang w:val="ru-RU"/>
        </w:rPr>
        <w:t>реализация более короткой кинематической цепи, в т.ч. во многих случ</w:t>
      </w:r>
      <w:r w:rsidRPr="000229C8">
        <w:rPr>
          <w:lang w:val="ru-RU"/>
        </w:rPr>
        <w:t>а</w:t>
      </w:r>
      <w:r w:rsidRPr="000229C8">
        <w:rPr>
          <w:lang w:val="ru-RU"/>
        </w:rPr>
        <w:t>ях с использованием компактной планетарной передачи.</w:t>
      </w:r>
    </w:p>
    <w:p w:rsidR="00F27983" w:rsidRPr="000229C8" w:rsidRDefault="00F27983" w:rsidP="00F27983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>3. Для обеих подсистем привода ИО применены индивидуальные эле</w:t>
      </w:r>
      <w:r w:rsidRPr="000229C8">
        <w:rPr>
          <w:lang w:val="ru-RU"/>
        </w:rPr>
        <w:t>к</w:t>
      </w:r>
      <w:r w:rsidRPr="000229C8">
        <w:rPr>
          <w:lang w:val="ru-RU"/>
        </w:rPr>
        <w:t xml:space="preserve">тродвигатели нового технического уровня с доминирующей формой на основе цилиндров и с одним выходным концом. При этом между каждым </w:t>
      </w:r>
      <w:r w:rsidRPr="000229C8">
        <w:rPr>
          <w:lang w:val="ru-RU"/>
        </w:rPr>
        <w:lastRenderedPageBreak/>
        <w:t>электродв</w:t>
      </w:r>
      <w:r w:rsidRPr="000229C8">
        <w:rPr>
          <w:lang w:val="ru-RU"/>
        </w:rPr>
        <w:t>и</w:t>
      </w:r>
      <w:r w:rsidRPr="000229C8">
        <w:rPr>
          <w:lang w:val="ru-RU"/>
        </w:rPr>
        <w:t xml:space="preserve">гателем и входным валом редуктора имеется торсионный вал, обеспечивающий определенное снижение коэффициента крутильной </w:t>
      </w:r>
      <w:r>
        <w:rPr>
          <w:lang w:val="ru-RU"/>
        </w:rPr>
        <w:t>жесткости</w:t>
      </w:r>
      <w:r w:rsidRPr="000229C8">
        <w:rPr>
          <w:lang w:val="ru-RU"/>
        </w:rPr>
        <w:t xml:space="preserve"> подсистемы и выполняющий (с помощью </w:t>
      </w:r>
      <w:r w:rsidRPr="0032363D">
        <w:rPr>
          <w:lang w:val="ru-RU"/>
        </w:rPr>
        <w:t>эвольвентных шлицев</w:t>
      </w:r>
      <w:r>
        <w:rPr>
          <w:lang w:val="ru-RU"/>
        </w:rPr>
        <w:t>)</w:t>
      </w:r>
      <w:r w:rsidRPr="000229C8">
        <w:rPr>
          <w:lang w:val="ru-RU"/>
        </w:rPr>
        <w:t xml:space="preserve"> функцию компенсатора п</w:t>
      </w:r>
      <w:r w:rsidRPr="000229C8">
        <w:rPr>
          <w:lang w:val="ru-RU"/>
        </w:rPr>
        <w:t>о</w:t>
      </w:r>
      <w:r w:rsidRPr="000229C8">
        <w:rPr>
          <w:lang w:val="ru-RU"/>
        </w:rPr>
        <w:t>грешностей изготовления при соединении валов в разных корпусах.</w:t>
      </w:r>
    </w:p>
    <w:p w:rsidR="00F27983" w:rsidRPr="000229C8" w:rsidRDefault="00F27983" w:rsidP="00F27983">
      <w:pPr>
        <w:pStyle w:val="aa"/>
        <w:spacing w:line="240" w:lineRule="auto"/>
        <w:rPr>
          <w:lang w:val="ru-RU"/>
        </w:rPr>
      </w:pPr>
      <w:r>
        <w:rPr>
          <w:lang w:val="ru-RU"/>
        </w:rPr>
        <w:t>Данные</w:t>
      </w:r>
      <w:r w:rsidRPr="000229C8">
        <w:rPr>
          <w:lang w:val="ru-RU"/>
        </w:rPr>
        <w:t xml:space="preserve"> двигатели встраиваются в расточки корпусов </w:t>
      </w:r>
      <w:r>
        <w:rPr>
          <w:lang w:val="ru-RU"/>
        </w:rPr>
        <w:t>ПБР</w:t>
      </w:r>
      <w:r w:rsidRPr="000229C8">
        <w:rPr>
          <w:lang w:val="ru-RU"/>
        </w:rPr>
        <w:t>. Поэтому корпуса электродвигателей практически разгружены от вне</w:t>
      </w:r>
      <w:r w:rsidRPr="000229C8">
        <w:rPr>
          <w:lang w:val="ru-RU"/>
        </w:rPr>
        <w:t>ш</w:t>
      </w:r>
      <w:r w:rsidRPr="000229C8">
        <w:rPr>
          <w:lang w:val="ru-RU"/>
        </w:rPr>
        <w:t>них сил, действующих на корпусную подсистему, что позволяет обеспечить компактность конструкции и высокие параметры этих электрических м</w:t>
      </w:r>
      <w:r w:rsidRPr="000229C8">
        <w:rPr>
          <w:lang w:val="ru-RU"/>
        </w:rPr>
        <w:t>а</w:t>
      </w:r>
      <w:r w:rsidRPr="000229C8">
        <w:rPr>
          <w:lang w:val="ru-RU"/>
        </w:rPr>
        <w:t>шин.</w:t>
      </w:r>
    </w:p>
    <w:p w:rsidR="00F27983" w:rsidRPr="000229C8" w:rsidRDefault="00F27983" w:rsidP="00F27983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>4. Две встроенные подсистемы подачи на основе цилиндрических и пл</w:t>
      </w:r>
      <w:r w:rsidRPr="000229C8">
        <w:rPr>
          <w:lang w:val="ru-RU"/>
        </w:rPr>
        <w:t>а</w:t>
      </w:r>
      <w:r w:rsidRPr="000229C8">
        <w:rPr>
          <w:lang w:val="ru-RU"/>
        </w:rPr>
        <w:t>нетарных передач и жесткого тягового органа имеют индивидуальный частотно</w:t>
      </w:r>
      <w:r>
        <w:rPr>
          <w:lang w:val="ru-RU"/>
        </w:rPr>
        <w:t>-</w:t>
      </w:r>
      <w:r w:rsidRPr="000229C8">
        <w:rPr>
          <w:lang w:val="ru-RU"/>
        </w:rPr>
        <w:t xml:space="preserve"> регулируемый асинхронный электропривод, который выполняет одновременно две функции – приводного двигателя и (совместно с аппаратурой автоматиз</w:t>
      </w:r>
      <w:r w:rsidRPr="000229C8">
        <w:rPr>
          <w:lang w:val="ru-RU"/>
        </w:rPr>
        <w:t>а</w:t>
      </w:r>
      <w:r w:rsidRPr="000229C8">
        <w:rPr>
          <w:lang w:val="ru-RU"/>
        </w:rPr>
        <w:t>ции) электрического регулятора скорости.</w:t>
      </w:r>
    </w:p>
    <w:p w:rsidR="00F27983" w:rsidRPr="000229C8" w:rsidRDefault="00F27983" w:rsidP="00F27983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>Указанный электропривод по сравнению с традиционными гидравлич</w:t>
      </w:r>
      <w:r w:rsidRPr="000229C8">
        <w:rPr>
          <w:lang w:val="ru-RU"/>
        </w:rPr>
        <w:t>е</w:t>
      </w:r>
      <w:r w:rsidRPr="000229C8">
        <w:rPr>
          <w:lang w:val="ru-RU"/>
        </w:rPr>
        <w:t>скими регуляторами скорости обеспечивает для каждой подсистемы подачи п</w:t>
      </w:r>
      <w:r w:rsidRPr="000229C8">
        <w:rPr>
          <w:lang w:val="ru-RU"/>
        </w:rPr>
        <w:t>о</w:t>
      </w:r>
      <w:r w:rsidRPr="000229C8">
        <w:rPr>
          <w:lang w:val="ru-RU"/>
        </w:rPr>
        <w:t>вышение КПД (оценочно на 25-30%), надежности и значений удельной мощн</w:t>
      </w:r>
      <w:r w:rsidRPr="000229C8">
        <w:rPr>
          <w:lang w:val="ru-RU"/>
        </w:rPr>
        <w:t>о</w:t>
      </w:r>
      <w:r w:rsidRPr="000229C8">
        <w:rPr>
          <w:lang w:val="ru-RU"/>
        </w:rPr>
        <w:t>сти, упрощение обслуживания.</w:t>
      </w:r>
    </w:p>
    <w:p w:rsidR="00F27983" w:rsidRPr="000229C8" w:rsidRDefault="00F27983" w:rsidP="00F27983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 xml:space="preserve">Отличительные особенности применительно ко </w:t>
      </w:r>
      <w:r w:rsidRPr="000229C8">
        <w:t>II</w:t>
      </w:r>
      <w:r w:rsidRPr="000229C8">
        <w:rPr>
          <w:lang w:val="ru-RU"/>
        </w:rPr>
        <w:t xml:space="preserve"> группе можно охара</w:t>
      </w:r>
      <w:r w:rsidRPr="000229C8">
        <w:rPr>
          <w:lang w:val="ru-RU"/>
        </w:rPr>
        <w:t>к</w:t>
      </w:r>
      <w:r w:rsidRPr="000229C8">
        <w:rPr>
          <w:lang w:val="ru-RU"/>
        </w:rPr>
        <w:t>теризовать следующим образом.</w:t>
      </w:r>
    </w:p>
    <w:p w:rsidR="00F27983" w:rsidRDefault="00F27983" w:rsidP="00F27983">
      <w:pPr>
        <w:pStyle w:val="aa"/>
        <w:spacing w:line="240" w:lineRule="auto"/>
        <w:rPr>
          <w:lang w:val="ru-RU"/>
        </w:rPr>
      </w:pPr>
      <w:proofErr w:type="gramStart"/>
      <w:r w:rsidRPr="000229C8">
        <w:rPr>
          <w:lang w:val="ru-RU"/>
        </w:rPr>
        <w:t>ОК</w:t>
      </w:r>
      <w:proofErr w:type="gramEnd"/>
      <w:r w:rsidRPr="000229C8">
        <w:rPr>
          <w:lang w:val="ru-RU"/>
        </w:rPr>
        <w:t xml:space="preserve"> нового поколения (НП) присущи высокие значения энерговооруже</w:t>
      </w:r>
      <w:r w:rsidRPr="000229C8">
        <w:rPr>
          <w:lang w:val="ru-RU"/>
        </w:rPr>
        <w:t>н</w:t>
      </w:r>
      <w:r w:rsidRPr="000229C8">
        <w:rPr>
          <w:lang w:val="ru-RU"/>
        </w:rPr>
        <w:t>ности и максимально возможных теоретической и технической производител</w:t>
      </w:r>
      <w:r w:rsidRPr="000229C8">
        <w:rPr>
          <w:lang w:val="ru-RU"/>
        </w:rPr>
        <w:t>ь</w:t>
      </w:r>
      <w:r>
        <w:rPr>
          <w:lang w:val="ru-RU"/>
        </w:rPr>
        <w:t xml:space="preserve">ностей. В таблицах 1 и </w:t>
      </w:r>
      <w:r w:rsidRPr="000229C8">
        <w:rPr>
          <w:lang w:val="ru-RU"/>
        </w:rPr>
        <w:t>2 в качестве примера представлены некоторые те</w:t>
      </w:r>
      <w:r w:rsidRPr="000229C8">
        <w:rPr>
          <w:lang w:val="ru-RU"/>
        </w:rPr>
        <w:t>х</w:t>
      </w:r>
      <w:r w:rsidRPr="000229C8">
        <w:rPr>
          <w:lang w:val="ru-RU"/>
        </w:rPr>
        <w:t xml:space="preserve">нические данные по </w:t>
      </w:r>
      <w:proofErr w:type="gramStart"/>
      <w:r w:rsidRPr="000229C8">
        <w:rPr>
          <w:lang w:val="ru-RU"/>
        </w:rPr>
        <w:t>ОК</w:t>
      </w:r>
      <w:proofErr w:type="gramEnd"/>
      <w:r w:rsidRPr="000229C8">
        <w:rPr>
          <w:lang w:val="ru-RU"/>
        </w:rPr>
        <w:t xml:space="preserve"> НП (КДК500) и прежн</w:t>
      </w:r>
      <w:r>
        <w:rPr>
          <w:lang w:val="ru-RU"/>
        </w:rPr>
        <w:t>его</w:t>
      </w:r>
      <w:r w:rsidRPr="000229C8">
        <w:rPr>
          <w:lang w:val="ru-RU"/>
        </w:rPr>
        <w:t xml:space="preserve"> поколен</w:t>
      </w:r>
      <w:r>
        <w:rPr>
          <w:lang w:val="ru-RU"/>
        </w:rPr>
        <w:t>ия</w:t>
      </w:r>
      <w:r w:rsidRPr="000229C8">
        <w:rPr>
          <w:lang w:val="ru-RU"/>
        </w:rPr>
        <w:t xml:space="preserve"> (РКУ13) с </w:t>
      </w:r>
      <w:r>
        <w:rPr>
          <w:lang w:val="ru-RU"/>
        </w:rPr>
        <w:t xml:space="preserve">одинаковой </w:t>
      </w:r>
      <w:r w:rsidRPr="000229C8">
        <w:rPr>
          <w:lang w:val="ru-RU"/>
        </w:rPr>
        <w:t xml:space="preserve">областью применения по вынимаемой мощности </w:t>
      </w:r>
      <w:r w:rsidRPr="0032363D">
        <w:rPr>
          <w:lang w:val="ru-RU"/>
        </w:rPr>
        <w:t>пологонаклонных</w:t>
      </w:r>
      <w:r w:rsidRPr="000229C8">
        <w:rPr>
          <w:lang w:val="ru-RU"/>
        </w:rPr>
        <w:t xml:space="preserve"> пластов (</w:t>
      </w:r>
      <w:r w:rsidRPr="000229C8">
        <w:rPr>
          <w:i/>
          <w:lang w:val="ru-RU"/>
        </w:rPr>
        <w:t>Н</w:t>
      </w:r>
      <w:r w:rsidRPr="000229C8">
        <w:rPr>
          <w:vertAlign w:val="subscript"/>
        </w:rPr>
        <w:t>min</w:t>
      </w:r>
      <w:r w:rsidRPr="000229C8">
        <w:rPr>
          <w:lang w:val="ru-RU"/>
        </w:rPr>
        <w:t xml:space="preserve"> − </w:t>
      </w:r>
      <w:r w:rsidRPr="000229C8">
        <w:rPr>
          <w:i/>
          <w:lang w:val="ru-RU"/>
        </w:rPr>
        <w:t>Н</w:t>
      </w:r>
      <w:r w:rsidRPr="000229C8">
        <w:rPr>
          <w:vertAlign w:val="subscript"/>
        </w:rPr>
        <w:t>max</w:t>
      </w:r>
      <w:r>
        <w:rPr>
          <w:lang w:val="ru-RU"/>
        </w:rPr>
        <w:t>).</w:t>
      </w:r>
    </w:p>
    <w:p w:rsidR="00F27983" w:rsidRDefault="00F27983" w:rsidP="00F27983">
      <w:pPr>
        <w:pStyle w:val="aa"/>
        <w:spacing w:line="240" w:lineRule="auto"/>
        <w:rPr>
          <w:lang w:val="ru-RU"/>
        </w:rPr>
      </w:pPr>
    </w:p>
    <w:p w:rsidR="00F27983" w:rsidRPr="00B64637" w:rsidRDefault="00F27983" w:rsidP="00F27983">
      <w:pPr>
        <w:pStyle w:val="ad"/>
        <w:spacing w:before="0" w:line="240" w:lineRule="auto"/>
        <w:ind w:left="0" w:firstLine="180"/>
        <w:rPr>
          <w:lang w:val="ru-RU"/>
        </w:rPr>
      </w:pPr>
      <w:r>
        <w:rPr>
          <w:lang w:val="ru-RU"/>
        </w:rPr>
        <w:t xml:space="preserve">Таблица </w:t>
      </w:r>
      <w:r w:rsidRPr="008518E4">
        <w:rPr>
          <w:lang w:val="ru-RU"/>
        </w:rPr>
        <w:t>1 – Технические данные очистных комбайнов</w:t>
      </w:r>
    </w:p>
    <w:tbl>
      <w:tblPr>
        <w:tblStyle w:val="ae"/>
        <w:tblW w:w="9636" w:type="dxa"/>
        <w:jc w:val="center"/>
        <w:tblInd w:w="-71" w:type="dxa"/>
        <w:tblLayout w:type="fixed"/>
        <w:tblLook w:val="01E0" w:firstRow="1" w:lastRow="1" w:firstColumn="1" w:lastColumn="1" w:noHBand="0" w:noVBand="0"/>
      </w:tblPr>
      <w:tblGrid>
        <w:gridCol w:w="19"/>
        <w:gridCol w:w="1150"/>
        <w:gridCol w:w="28"/>
        <w:gridCol w:w="1239"/>
        <w:gridCol w:w="19"/>
        <w:gridCol w:w="1145"/>
        <w:gridCol w:w="10"/>
        <w:gridCol w:w="956"/>
        <w:gridCol w:w="10"/>
        <w:gridCol w:w="998"/>
        <w:gridCol w:w="10"/>
        <w:gridCol w:w="1319"/>
        <w:gridCol w:w="10"/>
        <w:gridCol w:w="2706"/>
        <w:gridCol w:w="10"/>
        <w:gridCol w:w="7"/>
      </w:tblGrid>
      <w:tr w:rsidR="00F27983" w:rsidRPr="000229C8" w:rsidTr="00F75C81">
        <w:trPr>
          <w:gridAfter w:val="2"/>
          <w:wAfter w:w="17" w:type="dxa"/>
          <w:jc w:val="center"/>
        </w:trPr>
        <w:tc>
          <w:tcPr>
            <w:tcW w:w="1169" w:type="dxa"/>
            <w:gridSpan w:val="2"/>
            <w:vMerge w:val="restart"/>
            <w:tcMar>
              <w:left w:w="57" w:type="dxa"/>
              <w:right w:w="28" w:type="dxa"/>
            </w:tcMar>
            <w:textDirection w:val="btLr"/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t>Ко</w:t>
            </w:r>
            <w:r w:rsidRPr="000229C8">
              <w:rPr>
                <w:lang w:val="ru-RU"/>
              </w:rPr>
              <w:t>м</w:t>
            </w:r>
            <w:r w:rsidRPr="000229C8">
              <w:rPr>
                <w:lang w:val="ru-RU"/>
              </w:rPr>
              <w:t>байны</w:t>
            </w:r>
          </w:p>
        </w:tc>
        <w:tc>
          <w:tcPr>
            <w:tcW w:w="1267" w:type="dxa"/>
            <w:gridSpan w:val="2"/>
            <w:vMerge w:val="restart"/>
            <w:tcMar>
              <w:left w:w="57" w:type="dxa"/>
              <w:right w:w="28" w:type="dxa"/>
            </w:tcMar>
            <w:textDirection w:val="btLr"/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proofErr w:type="gramStart"/>
            <w:r w:rsidRPr="000229C8">
              <w:rPr>
                <w:i/>
                <w:lang w:val="ru-RU"/>
              </w:rPr>
              <w:t>Н</w:t>
            </w:r>
            <w:proofErr w:type="gramEnd"/>
            <w:r w:rsidRPr="000229C8">
              <w:rPr>
                <w:vertAlign w:val="subscript"/>
              </w:rPr>
              <w:t>min</w:t>
            </w:r>
            <w:r w:rsidRPr="000229C8">
              <w:rPr>
                <w:i/>
                <w:lang w:val="ru-RU"/>
              </w:rPr>
              <w:t xml:space="preserve"> </w:t>
            </w:r>
            <w:r w:rsidRPr="000229C8">
              <w:rPr>
                <w:lang w:val="ru-RU"/>
              </w:rPr>
              <w:t xml:space="preserve">− </w:t>
            </w:r>
            <w:r w:rsidRPr="000229C8">
              <w:rPr>
                <w:i/>
                <w:lang w:val="ru-RU"/>
              </w:rPr>
              <w:t>Н</w:t>
            </w:r>
            <w:r w:rsidRPr="000229C8">
              <w:rPr>
                <w:vertAlign w:val="subscript"/>
              </w:rPr>
              <w:t>max</w:t>
            </w:r>
            <w:r w:rsidRPr="000229C8">
              <w:rPr>
                <w:i/>
                <w:lang w:val="ru-RU"/>
              </w:rPr>
              <w:t xml:space="preserve">, </w:t>
            </w:r>
            <w:r w:rsidRPr="000229C8">
              <w:rPr>
                <w:lang w:val="ru-RU"/>
              </w:rPr>
              <w:t>м</w:t>
            </w:r>
          </w:p>
        </w:tc>
        <w:tc>
          <w:tcPr>
            <w:tcW w:w="2130" w:type="dxa"/>
            <w:gridSpan w:val="4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t xml:space="preserve">Максимальные </w:t>
            </w:r>
            <w:r>
              <w:rPr>
                <w:lang w:val="ru-RU"/>
              </w:rPr>
              <w:br/>
            </w:r>
            <w:r w:rsidRPr="000229C8">
              <w:rPr>
                <w:lang w:val="ru-RU"/>
              </w:rPr>
              <w:t>зн</w:t>
            </w:r>
            <w:r w:rsidRPr="000229C8">
              <w:rPr>
                <w:lang w:val="ru-RU"/>
              </w:rPr>
              <w:t>а</w:t>
            </w:r>
            <w:r w:rsidRPr="000229C8">
              <w:rPr>
                <w:lang w:val="ru-RU"/>
              </w:rPr>
              <w:t>чения</w:t>
            </w:r>
          </w:p>
        </w:tc>
        <w:tc>
          <w:tcPr>
            <w:tcW w:w="2337" w:type="dxa"/>
            <w:gridSpan w:val="4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t>Энерговооруже</w:t>
            </w:r>
            <w:r w:rsidRPr="000229C8">
              <w:rPr>
                <w:lang w:val="ru-RU"/>
              </w:rPr>
              <w:t>н</w:t>
            </w:r>
            <w:r w:rsidRPr="000229C8">
              <w:rPr>
                <w:lang w:val="ru-RU"/>
              </w:rPr>
              <w:t>ность, кВт</w:t>
            </w:r>
          </w:p>
        </w:tc>
        <w:tc>
          <w:tcPr>
            <w:tcW w:w="2716" w:type="dxa"/>
            <w:gridSpan w:val="2"/>
            <w:tcMar>
              <w:left w:w="57" w:type="dxa"/>
              <w:right w:w="28" w:type="dxa"/>
            </w:tcMar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proofErr w:type="gramStart"/>
            <w:r w:rsidRPr="000229C8">
              <w:rPr>
                <w:lang w:val="ru-RU"/>
              </w:rPr>
              <w:t>Производител</w:t>
            </w:r>
            <w:r w:rsidRPr="000229C8">
              <w:rPr>
                <w:lang w:val="ru-RU"/>
              </w:rPr>
              <w:t>ь</w:t>
            </w:r>
            <w:r>
              <w:rPr>
                <w:lang w:val="ru-RU"/>
              </w:rPr>
              <w:t>-</w:t>
            </w:r>
            <w:r w:rsidRPr="000229C8">
              <w:rPr>
                <w:lang w:val="ru-RU"/>
              </w:rPr>
              <w:t>ность</w:t>
            </w:r>
            <w:proofErr w:type="gramEnd"/>
            <w:r w:rsidRPr="000229C8">
              <w:rPr>
                <w:lang w:val="ru-RU"/>
              </w:rPr>
              <w:t>, т/мин:</w:t>
            </w:r>
          </w:p>
        </w:tc>
      </w:tr>
      <w:tr w:rsidR="00F27983" w:rsidRPr="000229C8" w:rsidTr="00F75C81">
        <w:trPr>
          <w:jc w:val="center"/>
        </w:trPr>
        <w:tc>
          <w:tcPr>
            <w:tcW w:w="1169" w:type="dxa"/>
            <w:gridSpan w:val="2"/>
            <w:vMerge/>
            <w:tcMar>
              <w:left w:w="57" w:type="dxa"/>
              <w:right w:w="28" w:type="dxa"/>
            </w:tcMar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267" w:type="dxa"/>
            <w:gridSpan w:val="2"/>
            <w:vMerge/>
            <w:tcMar>
              <w:left w:w="57" w:type="dxa"/>
              <w:right w:w="28" w:type="dxa"/>
            </w:tcMar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1164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object w:dxaOrig="900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1.25pt" o:ole="">
                  <v:imagedata r:id="rId6" o:title=""/>
                </v:shape>
                <o:OLEObject Type="Embed" ProgID="Equation.3" ShapeID="_x0000_i1025" DrawAspect="Content" ObjectID="_1400003374" r:id="rId7"/>
              </w:object>
            </w:r>
            <w:r w:rsidRPr="000229C8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gramStart"/>
            <w:r w:rsidRPr="000229C8">
              <w:rPr>
                <w:lang w:val="ru-RU"/>
              </w:rPr>
              <w:t>м</w:t>
            </w:r>
            <w:proofErr w:type="gramEnd"/>
            <w:r w:rsidRPr="000229C8">
              <w:rPr>
                <w:lang w:val="ru-RU"/>
              </w:rPr>
              <w:t>/мин</w:t>
            </w:r>
          </w:p>
        </w:tc>
        <w:tc>
          <w:tcPr>
            <w:tcW w:w="966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object w:dxaOrig="720" w:dyaOrig="380">
                <v:shape id="_x0000_i1026" type="#_x0000_t75" style="width:36pt;height:18.75pt" o:ole="">
                  <v:imagedata r:id="rId8" o:title=""/>
                </v:shape>
                <o:OLEObject Type="Embed" ProgID="Equation.3" ShapeID="_x0000_i1026" DrawAspect="Content" ObjectID="_1400003375" r:id="rId9"/>
              </w:object>
            </w:r>
            <w:r w:rsidRPr="000229C8">
              <w:rPr>
                <w:lang w:val="ru-RU"/>
              </w:rPr>
              <w:t>,</w:t>
            </w:r>
            <w:r>
              <w:rPr>
                <w:lang w:val="ru-RU"/>
              </w:rPr>
              <w:br/>
            </w:r>
            <w:r w:rsidRPr="000229C8">
              <w:rPr>
                <w:lang w:val="ru-RU"/>
              </w:rPr>
              <w:t>кН</w:t>
            </w:r>
          </w:p>
        </w:tc>
        <w:tc>
          <w:tcPr>
            <w:tcW w:w="1008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left"/>
              <w:rPr>
                <w:lang w:val="ru-RU"/>
              </w:rPr>
            </w:pPr>
            <w:r w:rsidRPr="000229C8">
              <w:rPr>
                <w:lang w:val="ru-RU"/>
              </w:rPr>
              <w:t>ко</w:t>
            </w:r>
            <w:r w:rsidRPr="000229C8">
              <w:rPr>
                <w:lang w:val="ru-RU"/>
              </w:rPr>
              <w:t>м</w:t>
            </w:r>
            <w:r w:rsidRPr="000229C8">
              <w:rPr>
                <w:lang w:val="ru-RU"/>
              </w:rPr>
              <w:t>байна</w:t>
            </w:r>
          </w:p>
        </w:tc>
        <w:tc>
          <w:tcPr>
            <w:tcW w:w="1329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left"/>
              <w:rPr>
                <w:lang w:val="ru-RU"/>
              </w:rPr>
            </w:pPr>
            <w:r w:rsidRPr="000229C8">
              <w:rPr>
                <w:lang w:val="ru-RU"/>
              </w:rPr>
              <w:t xml:space="preserve">в т.ч. </w:t>
            </w:r>
            <w:proofErr w:type="gramStart"/>
            <w:r w:rsidRPr="000229C8">
              <w:rPr>
                <w:lang w:val="ru-RU"/>
              </w:rPr>
              <w:t>под</w:t>
            </w:r>
            <w:r>
              <w:rPr>
                <w:lang w:val="ru-RU"/>
              </w:rPr>
              <w:t>-</w:t>
            </w:r>
            <w:r w:rsidRPr="000229C8">
              <w:rPr>
                <w:lang w:val="ru-RU"/>
              </w:rPr>
              <w:t>систем</w:t>
            </w:r>
            <w:proofErr w:type="gramEnd"/>
            <w:r w:rsidRPr="000229C8">
              <w:rPr>
                <w:lang w:val="ru-RU"/>
              </w:rPr>
              <w:t xml:space="preserve"> пр</w:t>
            </w:r>
            <w:r w:rsidRPr="000229C8">
              <w:rPr>
                <w:lang w:val="ru-RU"/>
              </w:rPr>
              <w:t>и</w:t>
            </w:r>
            <w:r w:rsidRPr="000229C8">
              <w:rPr>
                <w:lang w:val="ru-RU"/>
              </w:rPr>
              <w:t>вода</w:t>
            </w:r>
          </w:p>
        </w:tc>
        <w:tc>
          <w:tcPr>
            <w:tcW w:w="2733" w:type="dxa"/>
            <w:gridSpan w:val="4"/>
            <w:tcMar>
              <w:left w:w="57" w:type="dxa"/>
              <w:right w:w="28" w:type="dxa"/>
            </w:tcMar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left"/>
              <w:rPr>
                <w:lang w:val="ru-RU"/>
              </w:rPr>
            </w:pPr>
            <w:r w:rsidRPr="000229C8">
              <w:rPr>
                <w:lang w:val="ru-RU"/>
              </w:rPr>
              <w:t xml:space="preserve">а) при </w:t>
            </w:r>
            <w:r w:rsidRPr="00D730A7">
              <w:rPr>
                <w:position w:val="-16"/>
                <w:lang w:val="ru-RU"/>
              </w:rPr>
              <w:object w:dxaOrig="380" w:dyaOrig="440">
                <v:shape id="_x0000_i1027" type="#_x0000_t75" style="width:18.75pt;height:21.75pt" o:ole="">
                  <v:imagedata r:id="rId10" o:title=""/>
                </v:shape>
                <o:OLEObject Type="Embed" ProgID="Equation.3" ShapeID="_x0000_i1027" DrawAspect="Content" ObjectID="_1400003376" r:id="rId11"/>
              </w:object>
            </w:r>
            <w:r w:rsidRPr="000229C8">
              <w:rPr>
                <w:lang w:val="ru-RU"/>
              </w:rPr>
              <w:t>=120</w:t>
            </w:r>
            <w:r>
              <w:rPr>
                <w:lang w:val="ru-RU"/>
              </w:rPr>
              <w:t xml:space="preserve"> </w:t>
            </w:r>
            <w:r w:rsidRPr="000229C8">
              <w:rPr>
                <w:lang w:val="ru-RU"/>
              </w:rPr>
              <w:t>кН/м;</w:t>
            </w:r>
          </w:p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left"/>
              <w:rPr>
                <w:lang w:val="ru-RU"/>
              </w:rPr>
            </w:pPr>
            <w:r w:rsidRPr="000229C8">
              <w:rPr>
                <w:lang w:val="ru-RU"/>
              </w:rPr>
              <w:t xml:space="preserve">б) при </w:t>
            </w:r>
            <w:r w:rsidRPr="00D730A7">
              <w:rPr>
                <w:position w:val="-16"/>
                <w:lang w:val="ru-RU"/>
              </w:rPr>
              <w:object w:dxaOrig="380" w:dyaOrig="440">
                <v:shape id="_x0000_i1028" type="#_x0000_t75" style="width:18.75pt;height:21.75pt" o:ole="">
                  <v:imagedata r:id="rId12" o:title=""/>
                </v:shape>
                <o:OLEObject Type="Embed" ProgID="Equation.3" ShapeID="_x0000_i1028" DrawAspect="Content" ObjectID="_1400003377" r:id="rId13"/>
              </w:object>
            </w:r>
            <w:r w:rsidRPr="000229C8">
              <w:rPr>
                <w:lang w:val="ru-RU"/>
              </w:rPr>
              <w:t>=240 кН/м;</w:t>
            </w:r>
          </w:p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left"/>
              <w:rPr>
                <w:lang w:val="ru-RU"/>
              </w:rPr>
            </w:pPr>
            <w:r w:rsidRPr="000229C8">
              <w:rPr>
                <w:lang w:val="ru-RU"/>
              </w:rPr>
              <w:t xml:space="preserve">в) при </w:t>
            </w:r>
            <w:r w:rsidRPr="00D730A7">
              <w:rPr>
                <w:position w:val="-16"/>
                <w:lang w:val="ru-RU"/>
              </w:rPr>
              <w:object w:dxaOrig="380" w:dyaOrig="440">
                <v:shape id="_x0000_i1029" type="#_x0000_t75" style="width:18.75pt;height:21.75pt" o:ole="">
                  <v:imagedata r:id="rId14" o:title=""/>
                </v:shape>
                <o:OLEObject Type="Embed" ProgID="Equation.3" ShapeID="_x0000_i1029" DrawAspect="Content" ObjectID="_1400003378" r:id="rId15"/>
              </w:object>
            </w:r>
            <w:r w:rsidRPr="000229C8">
              <w:rPr>
                <w:lang w:val="ru-RU"/>
              </w:rPr>
              <w:t>=360 кН/м</w:t>
            </w:r>
          </w:p>
        </w:tc>
      </w:tr>
      <w:tr w:rsidR="00F27983" w:rsidRPr="000229C8" w:rsidTr="00F75C81">
        <w:trPr>
          <w:gridBefore w:val="1"/>
          <w:gridAfter w:val="1"/>
          <w:wBefore w:w="19" w:type="dxa"/>
          <w:wAfter w:w="7" w:type="dxa"/>
          <w:jc w:val="center"/>
        </w:trPr>
        <w:tc>
          <w:tcPr>
            <w:tcW w:w="1178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t>РКУ13</w:t>
            </w:r>
          </w:p>
        </w:tc>
        <w:tc>
          <w:tcPr>
            <w:tcW w:w="1258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t>1,35 – 2,6</w:t>
            </w:r>
          </w:p>
        </w:tc>
        <w:tc>
          <w:tcPr>
            <w:tcW w:w="1155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object w:dxaOrig="360" w:dyaOrig="720">
                <v:shape id="_x0000_i1030" type="#_x0000_t75" style="width:18pt;height:36pt" o:ole="">
                  <v:imagedata r:id="rId16" o:title=""/>
                </v:shape>
                <o:OLEObject Type="Embed" ProgID="Equation.3" ShapeID="_x0000_i1030" DrawAspect="Content" ObjectID="_1400003379" r:id="rId17"/>
              </w:object>
            </w:r>
          </w:p>
        </w:tc>
        <w:tc>
          <w:tcPr>
            <w:tcW w:w="966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t>250</w:t>
            </w:r>
          </w:p>
        </w:tc>
        <w:tc>
          <w:tcPr>
            <w:tcW w:w="1008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t>200</w:t>
            </w:r>
          </w:p>
        </w:tc>
        <w:tc>
          <w:tcPr>
            <w:tcW w:w="1329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2716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t>а) 7; б) 6;в) 5</w:t>
            </w:r>
          </w:p>
        </w:tc>
      </w:tr>
      <w:tr w:rsidR="00F27983" w:rsidRPr="000229C8" w:rsidTr="00F75C81">
        <w:trPr>
          <w:gridBefore w:val="1"/>
          <w:gridAfter w:val="1"/>
          <w:wBefore w:w="19" w:type="dxa"/>
          <w:wAfter w:w="7" w:type="dxa"/>
          <w:jc w:val="center"/>
        </w:trPr>
        <w:tc>
          <w:tcPr>
            <w:tcW w:w="1178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t xml:space="preserve">КДК500 </w:t>
            </w:r>
            <w:r>
              <w:rPr>
                <w:lang w:val="ru-RU"/>
              </w:rPr>
              <w:t xml:space="preserve"> </w:t>
            </w:r>
            <w:r w:rsidRPr="000229C8">
              <w:rPr>
                <w:lang w:val="ru-RU"/>
              </w:rPr>
              <w:t>(</w:t>
            </w:r>
            <w:r w:rsidRPr="000229C8">
              <w:t>I</w:t>
            </w:r>
            <w:r w:rsidRPr="00D730A7">
              <w:rPr>
                <w:lang w:val="ru-RU"/>
              </w:rPr>
              <w:t xml:space="preserve"> </w:t>
            </w:r>
            <w:r w:rsidRPr="000229C8">
              <w:rPr>
                <w:lang w:val="ru-RU"/>
              </w:rPr>
              <w:t>тип</w:t>
            </w:r>
            <w:r w:rsidRPr="000229C8">
              <w:rPr>
                <w:lang w:val="ru-RU"/>
              </w:rPr>
              <w:t>о</w:t>
            </w:r>
            <w:r w:rsidRPr="000229C8">
              <w:rPr>
                <w:lang w:val="ru-RU"/>
              </w:rPr>
              <w:t>размер)</w:t>
            </w:r>
          </w:p>
        </w:tc>
        <w:tc>
          <w:tcPr>
            <w:tcW w:w="1258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t>1,35 – 2,6</w:t>
            </w:r>
          </w:p>
        </w:tc>
        <w:tc>
          <w:tcPr>
            <w:tcW w:w="1155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object w:dxaOrig="400" w:dyaOrig="720">
                <v:shape id="_x0000_i1031" type="#_x0000_t75" style="width:20.25pt;height:36pt" o:ole="">
                  <v:imagedata r:id="rId18" o:title=""/>
                </v:shape>
                <o:OLEObject Type="Embed" ProgID="Equation.3" ShapeID="_x0000_i1031" DrawAspect="Content" ObjectID="_1400003380" r:id="rId19"/>
              </w:object>
            </w:r>
          </w:p>
        </w:tc>
        <w:tc>
          <w:tcPr>
            <w:tcW w:w="966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t>450</w:t>
            </w:r>
          </w:p>
        </w:tc>
        <w:tc>
          <w:tcPr>
            <w:tcW w:w="1008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t>597,5</w:t>
            </w:r>
          </w:p>
        </w:tc>
        <w:tc>
          <w:tcPr>
            <w:tcW w:w="1329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t>500</w:t>
            </w:r>
          </w:p>
        </w:tc>
        <w:tc>
          <w:tcPr>
            <w:tcW w:w="2716" w:type="dxa"/>
            <w:gridSpan w:val="2"/>
            <w:tcMar>
              <w:left w:w="57" w:type="dxa"/>
              <w:right w:w="28" w:type="dxa"/>
            </w:tcMar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 w:rsidRPr="000229C8">
              <w:rPr>
                <w:lang w:val="ru-RU"/>
              </w:rPr>
              <w:t>а) 18; б) 13; в) 8</w:t>
            </w:r>
          </w:p>
        </w:tc>
      </w:tr>
    </w:tbl>
    <w:p w:rsidR="00F27983" w:rsidRDefault="00F27983" w:rsidP="00F27983">
      <w:pPr>
        <w:pStyle w:val="ad"/>
        <w:spacing w:before="0" w:line="240" w:lineRule="auto"/>
        <w:ind w:left="0"/>
      </w:pPr>
    </w:p>
    <w:p w:rsidR="00F27983" w:rsidRDefault="00F27983" w:rsidP="00F27983">
      <w:pPr>
        <w:pStyle w:val="aa"/>
        <w:spacing w:line="240" w:lineRule="auto"/>
        <w:rPr>
          <w:lang w:val="ru-RU"/>
        </w:rPr>
      </w:pPr>
    </w:p>
    <w:p w:rsidR="00F27983" w:rsidRPr="0035737F" w:rsidRDefault="00F27983" w:rsidP="00F27983">
      <w:pPr>
        <w:pStyle w:val="ad"/>
        <w:spacing w:before="0" w:line="240" w:lineRule="auto"/>
        <w:ind w:left="0" w:firstLine="180"/>
        <w:rPr>
          <w:lang w:val="ru-RU"/>
        </w:rPr>
      </w:pPr>
      <w:r>
        <w:rPr>
          <w:lang w:val="ru-RU"/>
        </w:rPr>
        <w:t xml:space="preserve">Таблица </w:t>
      </w:r>
      <w:r w:rsidRPr="000229C8">
        <w:rPr>
          <w:lang w:val="ru-RU"/>
        </w:rPr>
        <w:t>2 – Характеристика электродвигателей для подсистем привода</w:t>
      </w:r>
    </w:p>
    <w:tbl>
      <w:tblPr>
        <w:tblStyle w:val="ae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526"/>
        <w:gridCol w:w="1420"/>
        <w:gridCol w:w="2318"/>
        <w:gridCol w:w="1717"/>
        <w:gridCol w:w="1343"/>
        <w:gridCol w:w="1379"/>
      </w:tblGrid>
      <w:tr w:rsidR="00F27983" w:rsidRPr="000229C8" w:rsidTr="00F75C81">
        <w:tc>
          <w:tcPr>
            <w:tcW w:w="1526" w:type="dxa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rPr>
                <w:lang w:val="ru-RU"/>
              </w:rPr>
            </w:pPr>
            <w:r w:rsidRPr="000229C8">
              <w:rPr>
                <w:lang w:val="ru-RU"/>
              </w:rPr>
              <w:t>Комба</w:t>
            </w:r>
            <w:r w:rsidRPr="000229C8">
              <w:rPr>
                <w:lang w:val="ru-RU"/>
              </w:rPr>
              <w:t>й</w:t>
            </w:r>
            <w:r w:rsidRPr="000229C8">
              <w:rPr>
                <w:lang w:val="ru-RU"/>
              </w:rPr>
              <w:t>ны</w:t>
            </w:r>
          </w:p>
        </w:tc>
        <w:tc>
          <w:tcPr>
            <w:tcW w:w="1420" w:type="dxa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rPr>
                <w:lang w:val="ru-RU"/>
              </w:rPr>
            </w:pPr>
            <w:r w:rsidRPr="000229C8">
              <w:rPr>
                <w:lang w:val="ru-RU"/>
              </w:rPr>
              <w:t>Марка двигат</w:t>
            </w:r>
            <w:r w:rsidRPr="000229C8">
              <w:rPr>
                <w:lang w:val="ru-RU"/>
              </w:rPr>
              <w:t>е</w:t>
            </w:r>
            <w:r w:rsidRPr="000229C8">
              <w:rPr>
                <w:lang w:val="ru-RU"/>
              </w:rPr>
              <w:t>лей</w:t>
            </w:r>
          </w:p>
        </w:tc>
        <w:tc>
          <w:tcPr>
            <w:tcW w:w="2318" w:type="dxa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rPr>
                <w:lang w:val="ru-RU"/>
              </w:rPr>
            </w:pPr>
            <w:r w:rsidRPr="000229C8">
              <w:rPr>
                <w:lang w:val="ru-RU"/>
              </w:rPr>
              <w:t>Доминирующая форма корпуса</w:t>
            </w:r>
          </w:p>
        </w:tc>
        <w:tc>
          <w:tcPr>
            <w:tcW w:w="1717" w:type="dxa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rPr>
                <w:lang w:val="ru-RU"/>
              </w:rPr>
            </w:pPr>
            <w:r w:rsidRPr="000229C8">
              <w:rPr>
                <w:lang w:val="ru-RU"/>
              </w:rPr>
              <w:t>Номинал</w:t>
            </w:r>
            <w:r w:rsidRPr="000229C8">
              <w:rPr>
                <w:lang w:val="ru-RU"/>
              </w:rPr>
              <w:t>ь</w:t>
            </w:r>
            <w:r w:rsidRPr="000229C8">
              <w:rPr>
                <w:lang w:val="ru-RU"/>
              </w:rPr>
              <w:t>ный режим раб</w:t>
            </w:r>
            <w:r w:rsidRPr="000229C8">
              <w:rPr>
                <w:lang w:val="ru-RU"/>
              </w:rPr>
              <w:t>о</w:t>
            </w:r>
            <w:r w:rsidRPr="000229C8">
              <w:rPr>
                <w:lang w:val="ru-RU"/>
              </w:rPr>
              <w:t>ты</w:t>
            </w:r>
          </w:p>
        </w:tc>
        <w:tc>
          <w:tcPr>
            <w:tcW w:w="1343" w:type="dxa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rPr>
                <w:lang w:val="ru-RU"/>
              </w:rPr>
            </w:pPr>
            <w:r w:rsidRPr="000229C8">
              <w:rPr>
                <w:i/>
                <w:lang w:val="ru-RU"/>
              </w:rPr>
              <w:t>Р</w:t>
            </w:r>
            <w:r w:rsidRPr="000229C8">
              <w:rPr>
                <w:i/>
                <w:sz w:val="32"/>
                <w:szCs w:val="32"/>
                <w:vertAlign w:val="subscript"/>
                <w:lang w:val="ru-RU"/>
              </w:rPr>
              <w:t>н</w:t>
            </w:r>
            <w:r w:rsidRPr="000229C8">
              <w:rPr>
                <w:lang w:val="ru-RU"/>
              </w:rPr>
              <w:t>, кВт</w:t>
            </w:r>
          </w:p>
        </w:tc>
        <w:tc>
          <w:tcPr>
            <w:tcW w:w="1379" w:type="dxa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rPr>
                <w:lang w:val="ru-RU"/>
              </w:rPr>
            </w:pPr>
            <w:r w:rsidRPr="000229C8">
              <w:rPr>
                <w:i/>
                <w:lang w:val="ru-RU"/>
              </w:rPr>
              <w:t>М</w:t>
            </w:r>
            <w:r w:rsidRPr="000229C8">
              <w:rPr>
                <w:i/>
                <w:vertAlign w:val="subscript"/>
                <w:lang w:val="ru-RU"/>
              </w:rPr>
              <w:t>к</w:t>
            </w:r>
            <w:r w:rsidRPr="000229C8">
              <w:rPr>
                <w:i/>
                <w:lang w:val="ru-RU"/>
              </w:rPr>
              <w:t>,</w:t>
            </w:r>
            <w:r w:rsidRPr="000229C8">
              <w:rPr>
                <w:lang w:val="ru-RU"/>
              </w:rPr>
              <w:t xml:space="preserve"> Нм</w:t>
            </w:r>
          </w:p>
        </w:tc>
      </w:tr>
      <w:tr w:rsidR="00F27983" w:rsidRPr="000229C8" w:rsidTr="00F75C81">
        <w:tc>
          <w:tcPr>
            <w:tcW w:w="1526" w:type="dxa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РКУ13</w:t>
            </w:r>
          </w:p>
        </w:tc>
        <w:tc>
          <w:tcPr>
            <w:tcW w:w="1420" w:type="dxa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0229C8">
              <w:rPr>
                <w:lang w:val="ru-RU"/>
              </w:rPr>
              <w:t>ЭКВ4-</w:t>
            </w:r>
            <w:r>
              <w:rPr>
                <w:lang w:val="ru-RU"/>
              </w:rPr>
              <w:t>200</w:t>
            </w:r>
            <w:r w:rsidRPr="000229C8">
              <w:rPr>
                <w:lang w:val="ru-RU"/>
              </w:rPr>
              <w:t>У5</w:t>
            </w:r>
          </w:p>
        </w:tc>
        <w:tc>
          <w:tcPr>
            <w:tcW w:w="2318" w:type="dxa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rPr>
                <w:lang w:val="ru-RU"/>
              </w:rPr>
            </w:pPr>
            <w:r w:rsidRPr="000229C8">
              <w:rPr>
                <w:lang w:val="ru-RU"/>
              </w:rPr>
              <w:t>на основе прям</w:t>
            </w:r>
            <w:r w:rsidRPr="000229C8">
              <w:rPr>
                <w:lang w:val="ru-RU"/>
              </w:rPr>
              <w:t>о</w:t>
            </w:r>
            <w:r w:rsidRPr="000229C8">
              <w:rPr>
                <w:lang w:val="ru-RU"/>
              </w:rPr>
              <w:t>угольного параллелеп</w:t>
            </w:r>
            <w:r w:rsidRPr="000229C8">
              <w:rPr>
                <w:lang w:val="ru-RU"/>
              </w:rPr>
              <w:t>и</w:t>
            </w:r>
            <w:r w:rsidRPr="000229C8">
              <w:rPr>
                <w:lang w:val="ru-RU"/>
              </w:rPr>
              <w:t>педа</w:t>
            </w:r>
          </w:p>
        </w:tc>
        <w:tc>
          <w:tcPr>
            <w:tcW w:w="1717" w:type="dxa"/>
            <w:vAlign w:val="center"/>
          </w:tcPr>
          <w:p w:rsidR="00F27983" w:rsidRPr="009A0C2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proofErr w:type="gramStart"/>
            <w:r w:rsidRPr="000229C8">
              <w:t>S4</w:t>
            </w:r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60%)</w:t>
            </w:r>
          </w:p>
        </w:tc>
        <w:tc>
          <w:tcPr>
            <w:tcW w:w="1343" w:type="dxa"/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379" w:type="dxa"/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3900</w:t>
            </w:r>
          </w:p>
        </w:tc>
      </w:tr>
      <w:tr w:rsidR="00F27983" w:rsidRPr="000229C8" w:rsidTr="00F75C81">
        <w:tc>
          <w:tcPr>
            <w:tcW w:w="1526" w:type="dxa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</w:pPr>
            <w:r w:rsidRPr="000229C8">
              <w:rPr>
                <w:lang w:val="ru-RU"/>
              </w:rPr>
              <w:t>КДК</w:t>
            </w:r>
            <w:r w:rsidRPr="000229C8">
              <w:t>500</w:t>
            </w:r>
          </w:p>
        </w:tc>
        <w:tc>
          <w:tcPr>
            <w:tcW w:w="1420" w:type="dxa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rPr>
                <w:lang w:val="ru-RU"/>
              </w:rPr>
            </w:pPr>
            <w:r w:rsidRPr="000229C8">
              <w:rPr>
                <w:lang w:val="ru-RU"/>
              </w:rPr>
              <w:t>ЭКВ5-250В-У5</w:t>
            </w:r>
          </w:p>
        </w:tc>
        <w:tc>
          <w:tcPr>
            <w:tcW w:w="2318" w:type="dxa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rPr>
                <w:lang w:val="ru-RU"/>
              </w:rPr>
            </w:pPr>
            <w:r w:rsidRPr="000229C8">
              <w:rPr>
                <w:lang w:val="ru-RU"/>
              </w:rPr>
              <w:t>на основе ц</w:t>
            </w:r>
            <w:r w:rsidRPr="000229C8">
              <w:rPr>
                <w:lang w:val="ru-RU"/>
              </w:rPr>
              <w:t>и</w:t>
            </w:r>
            <w:r w:rsidRPr="000229C8">
              <w:rPr>
                <w:lang w:val="ru-RU"/>
              </w:rPr>
              <w:t>линдра</w:t>
            </w:r>
          </w:p>
        </w:tc>
        <w:tc>
          <w:tcPr>
            <w:tcW w:w="1717" w:type="dxa"/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</w:pPr>
            <w:r w:rsidRPr="000229C8">
              <w:t>S1</w:t>
            </w:r>
          </w:p>
        </w:tc>
        <w:tc>
          <w:tcPr>
            <w:tcW w:w="1343" w:type="dxa"/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</w:pPr>
            <w:r w:rsidRPr="000229C8">
              <w:t>250</w:t>
            </w:r>
          </w:p>
        </w:tc>
        <w:tc>
          <w:tcPr>
            <w:tcW w:w="1379" w:type="dxa"/>
            <w:vAlign w:val="center"/>
          </w:tcPr>
          <w:p w:rsidR="00F27983" w:rsidRPr="000229C8" w:rsidRDefault="00F27983" w:rsidP="00F75C81">
            <w:pPr>
              <w:pStyle w:val="aa"/>
              <w:spacing w:line="240" w:lineRule="auto"/>
              <w:ind w:firstLine="0"/>
              <w:jc w:val="center"/>
            </w:pPr>
            <w:r w:rsidRPr="000229C8">
              <w:t>4475</w:t>
            </w:r>
          </w:p>
        </w:tc>
      </w:tr>
    </w:tbl>
    <w:p w:rsidR="00F27983" w:rsidRDefault="00F27983" w:rsidP="00F27983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 xml:space="preserve">Здесь </w:t>
      </w:r>
      <w:proofErr w:type="gramStart"/>
      <w:r w:rsidRPr="000229C8">
        <w:rPr>
          <w:i/>
        </w:rPr>
        <w:t>V</w:t>
      </w:r>
      <w:proofErr w:type="gramEnd"/>
      <w:r w:rsidRPr="000229C8">
        <w:rPr>
          <w:i/>
          <w:sz w:val="32"/>
          <w:szCs w:val="32"/>
          <w:vertAlign w:val="subscript"/>
          <w:lang w:val="ru-RU"/>
        </w:rPr>
        <w:t>пр.</w:t>
      </w:r>
      <w:r w:rsidRPr="000229C8">
        <w:rPr>
          <w:sz w:val="32"/>
          <w:szCs w:val="32"/>
          <w:vertAlign w:val="subscript"/>
        </w:rPr>
        <w:t>max</w:t>
      </w:r>
      <w:r w:rsidRPr="000229C8">
        <w:rPr>
          <w:sz w:val="32"/>
          <w:szCs w:val="32"/>
          <w:lang w:val="ru-RU"/>
        </w:rPr>
        <w:t xml:space="preserve"> </w:t>
      </w:r>
      <w:r w:rsidRPr="000229C8">
        <w:rPr>
          <w:lang w:val="ru-RU"/>
        </w:rPr>
        <w:t xml:space="preserve">и </w:t>
      </w:r>
      <w:r w:rsidRPr="000229C8">
        <w:rPr>
          <w:i/>
        </w:rPr>
        <w:t>V</w:t>
      </w:r>
      <w:r w:rsidRPr="000229C8">
        <w:rPr>
          <w:i/>
          <w:sz w:val="32"/>
          <w:szCs w:val="32"/>
          <w:vertAlign w:val="subscript"/>
        </w:rPr>
        <w:t>n</w:t>
      </w:r>
      <w:r w:rsidRPr="000229C8">
        <w:rPr>
          <w:i/>
          <w:sz w:val="32"/>
          <w:szCs w:val="32"/>
          <w:vertAlign w:val="subscript"/>
          <w:lang w:val="ru-RU"/>
        </w:rPr>
        <w:t>.</w:t>
      </w:r>
      <w:r w:rsidRPr="000229C8">
        <w:rPr>
          <w:sz w:val="32"/>
          <w:szCs w:val="32"/>
          <w:vertAlign w:val="subscript"/>
        </w:rPr>
        <w:t>max</w:t>
      </w:r>
      <w:r w:rsidRPr="000229C8">
        <w:rPr>
          <w:i/>
          <w:sz w:val="32"/>
          <w:szCs w:val="32"/>
          <w:lang w:val="ru-RU"/>
        </w:rPr>
        <w:t xml:space="preserve"> </w:t>
      </w:r>
      <w:r w:rsidRPr="000229C8">
        <w:rPr>
          <w:lang w:val="ru-RU"/>
        </w:rPr>
        <w:t>максимальные значения скорости подачи при вые</w:t>
      </w:r>
      <w:r w:rsidRPr="000229C8">
        <w:rPr>
          <w:lang w:val="ru-RU"/>
        </w:rPr>
        <w:t>м</w:t>
      </w:r>
      <w:r w:rsidRPr="000229C8">
        <w:rPr>
          <w:lang w:val="ru-RU"/>
        </w:rPr>
        <w:t xml:space="preserve">ке и маневровой скорости подачи; </w:t>
      </w:r>
      <w:r w:rsidRPr="009E5D6F">
        <w:rPr>
          <w:position w:val="-12"/>
          <w:lang w:val="ru-RU"/>
        </w:rPr>
        <w:object w:dxaOrig="720" w:dyaOrig="380">
          <v:shape id="_x0000_i1032" type="#_x0000_t75" style="width:36pt;height:18.75pt" o:ole="">
            <v:imagedata r:id="rId20" o:title=""/>
          </v:shape>
          <o:OLEObject Type="Embed" ProgID="Equation.3" ShapeID="_x0000_i1032" DrawAspect="Content" ObjectID="_1400003381" r:id="rId21"/>
        </w:object>
      </w:r>
      <w:r w:rsidRPr="009E5D6F">
        <w:rPr>
          <w:lang w:val="ru-RU"/>
        </w:rPr>
        <w:t xml:space="preserve"> - </w:t>
      </w:r>
      <w:r>
        <w:rPr>
          <w:lang w:val="ru-RU"/>
        </w:rPr>
        <w:t>максимальное значение тягового ус</w:t>
      </w:r>
      <w:r>
        <w:rPr>
          <w:lang w:val="ru-RU"/>
        </w:rPr>
        <w:t>и</w:t>
      </w:r>
      <w:r>
        <w:rPr>
          <w:lang w:val="ru-RU"/>
        </w:rPr>
        <w:t xml:space="preserve">лия; </w:t>
      </w:r>
      <w:r w:rsidRPr="009A0C28">
        <w:rPr>
          <w:position w:val="-14"/>
          <w:lang w:val="ru-RU"/>
        </w:rPr>
        <w:object w:dxaOrig="320" w:dyaOrig="400">
          <v:shape id="_x0000_i1033" type="#_x0000_t75" style="width:15.75pt;height:20.25pt" o:ole="">
            <v:imagedata r:id="rId22" o:title=""/>
          </v:shape>
          <o:OLEObject Type="Embed" ProgID="Equation.3" ShapeID="_x0000_i1033" DrawAspect="Content" ObjectID="_1400003382" r:id="rId23"/>
        </w:object>
      </w:r>
      <w:r w:rsidRPr="000229C8">
        <w:rPr>
          <w:lang w:val="ru-RU"/>
        </w:rPr>
        <w:t xml:space="preserve"> − сопротивляемость пласта резанию в неотжатой зоне массива; </w:t>
      </w:r>
      <w:r w:rsidRPr="000229C8">
        <w:rPr>
          <w:i/>
          <w:lang w:val="ru-RU"/>
        </w:rPr>
        <w:t>Р</w:t>
      </w:r>
      <w:r w:rsidRPr="000229C8">
        <w:rPr>
          <w:i/>
          <w:sz w:val="32"/>
          <w:szCs w:val="32"/>
          <w:vertAlign w:val="subscript"/>
          <w:lang w:val="ru-RU"/>
        </w:rPr>
        <w:t>н</w:t>
      </w:r>
      <w:r w:rsidRPr="000229C8">
        <w:rPr>
          <w:i/>
          <w:lang w:val="ru-RU"/>
        </w:rPr>
        <w:t xml:space="preserve"> </w:t>
      </w:r>
      <w:r w:rsidRPr="000229C8">
        <w:rPr>
          <w:lang w:val="ru-RU"/>
        </w:rPr>
        <w:t xml:space="preserve">– номинальная мощность; </w:t>
      </w:r>
      <w:r w:rsidRPr="000229C8">
        <w:rPr>
          <w:i/>
          <w:lang w:val="ru-RU"/>
        </w:rPr>
        <w:t>М</w:t>
      </w:r>
      <w:r w:rsidRPr="000229C8">
        <w:rPr>
          <w:i/>
          <w:sz w:val="32"/>
          <w:szCs w:val="32"/>
          <w:vertAlign w:val="subscript"/>
          <w:lang w:val="ru-RU"/>
        </w:rPr>
        <w:t>к</w:t>
      </w:r>
      <w:r w:rsidRPr="000229C8">
        <w:rPr>
          <w:i/>
          <w:lang w:val="ru-RU"/>
        </w:rPr>
        <w:t xml:space="preserve"> </w:t>
      </w:r>
      <w:r w:rsidRPr="000229C8">
        <w:rPr>
          <w:lang w:val="ru-RU"/>
        </w:rPr>
        <w:t>– критический момент при номинальном напряж</w:t>
      </w:r>
      <w:r w:rsidRPr="000229C8">
        <w:rPr>
          <w:lang w:val="ru-RU"/>
        </w:rPr>
        <w:t>е</w:t>
      </w:r>
      <w:r w:rsidRPr="000229C8">
        <w:rPr>
          <w:lang w:val="ru-RU"/>
        </w:rPr>
        <w:t xml:space="preserve">нии </w:t>
      </w:r>
      <w:r w:rsidRPr="000229C8">
        <w:rPr>
          <w:i/>
        </w:rPr>
        <w:t>U</w:t>
      </w:r>
      <w:r w:rsidRPr="000229C8">
        <w:rPr>
          <w:i/>
          <w:sz w:val="32"/>
          <w:szCs w:val="32"/>
          <w:vertAlign w:val="subscript"/>
          <w:lang w:val="ru-RU"/>
        </w:rPr>
        <w:t>н</w:t>
      </w:r>
      <w:r>
        <w:rPr>
          <w:lang w:val="ru-RU"/>
        </w:rPr>
        <w:t>.</w:t>
      </w:r>
    </w:p>
    <w:p w:rsidR="00F27983" w:rsidRDefault="00F27983" w:rsidP="00F27983">
      <w:pPr>
        <w:ind w:firstLine="720"/>
        <w:jc w:val="both"/>
        <w:rPr>
          <w:sz w:val="28"/>
          <w:szCs w:val="28"/>
        </w:rPr>
      </w:pPr>
      <w:r w:rsidRPr="00FF1700">
        <w:rPr>
          <w:sz w:val="28"/>
          <w:szCs w:val="28"/>
        </w:rPr>
        <w:t>Из приведенных данных наглядно видно значительное увеличение: максимальных значений основного р</w:t>
      </w:r>
      <w:r w:rsidRPr="00FF1700">
        <w:rPr>
          <w:sz w:val="28"/>
          <w:szCs w:val="28"/>
        </w:rPr>
        <w:t>е</w:t>
      </w:r>
      <w:r w:rsidRPr="00FF1700">
        <w:rPr>
          <w:sz w:val="28"/>
          <w:szCs w:val="28"/>
        </w:rPr>
        <w:t xml:space="preserve">жимного параметра – скорости подачи при выемке, максимальных тяговых усилий, энерговооруженности машин, в том числе подсистем привода их </w:t>
      </w:r>
      <w:r w:rsidRPr="0086624C">
        <w:rPr>
          <w:sz w:val="28"/>
          <w:szCs w:val="28"/>
        </w:rPr>
        <w:t>исполнительных органов</w:t>
      </w:r>
      <w:r>
        <w:rPr>
          <w:sz w:val="28"/>
          <w:szCs w:val="28"/>
        </w:rPr>
        <w:t xml:space="preserve">, </w:t>
      </w:r>
      <w:r w:rsidRPr="00FF1700">
        <w:rPr>
          <w:sz w:val="28"/>
          <w:szCs w:val="28"/>
        </w:rPr>
        <w:t>и, как следствие, производительности для очистных ко</w:t>
      </w:r>
      <w:r w:rsidRPr="00FF1700">
        <w:rPr>
          <w:sz w:val="28"/>
          <w:szCs w:val="28"/>
        </w:rPr>
        <w:t>м</w:t>
      </w:r>
      <w:r w:rsidRPr="00FF1700">
        <w:rPr>
          <w:sz w:val="28"/>
          <w:szCs w:val="28"/>
        </w:rPr>
        <w:t>байнов нового поколения</w:t>
      </w:r>
      <w:r>
        <w:rPr>
          <w:sz w:val="28"/>
          <w:szCs w:val="28"/>
        </w:rPr>
        <w:t>.</w:t>
      </w:r>
    </w:p>
    <w:p w:rsidR="00F27983" w:rsidRPr="000229C8" w:rsidRDefault="00F27983" w:rsidP="00F27983">
      <w:pPr>
        <w:pStyle w:val="aa"/>
        <w:spacing w:line="240" w:lineRule="auto"/>
        <w:rPr>
          <w:szCs w:val="28"/>
          <w:lang w:val="ru-RU"/>
        </w:rPr>
      </w:pPr>
      <w:r w:rsidRPr="000229C8">
        <w:rPr>
          <w:szCs w:val="28"/>
          <w:lang w:val="ru-RU"/>
        </w:rPr>
        <w:t xml:space="preserve">Рассмотрим особенности, характерные для </w:t>
      </w:r>
      <w:r w:rsidRPr="000229C8">
        <w:rPr>
          <w:szCs w:val="28"/>
        </w:rPr>
        <w:t>III</w:t>
      </w:r>
      <w:r w:rsidRPr="000229C8">
        <w:rPr>
          <w:szCs w:val="28"/>
          <w:lang w:val="ru-RU"/>
        </w:rPr>
        <w:t xml:space="preserve"> группы отличий.</w:t>
      </w:r>
    </w:p>
    <w:p w:rsidR="00F27983" w:rsidRPr="000229C8" w:rsidRDefault="00F27983" w:rsidP="00F27983">
      <w:pPr>
        <w:pStyle w:val="aa"/>
        <w:spacing w:line="240" w:lineRule="auto"/>
        <w:rPr>
          <w:szCs w:val="28"/>
          <w:lang w:val="ru-RU"/>
        </w:rPr>
      </w:pPr>
      <w:r w:rsidRPr="000229C8">
        <w:rPr>
          <w:szCs w:val="28"/>
          <w:lang w:val="ru-RU"/>
        </w:rPr>
        <w:t>В качестве примеров существенного отличия динамических параметров применительно к силовым подсистемам комбайнов НП по отношению к ранее созданным машинам можно привести следующие особенности.</w:t>
      </w:r>
    </w:p>
    <w:p w:rsidR="00F27983" w:rsidRPr="000229C8" w:rsidRDefault="00F27983" w:rsidP="00F27983">
      <w:pPr>
        <w:pStyle w:val="aa"/>
        <w:spacing w:line="240" w:lineRule="auto"/>
        <w:rPr>
          <w:szCs w:val="28"/>
          <w:lang w:val="ru-RU"/>
        </w:rPr>
      </w:pPr>
      <w:r w:rsidRPr="000229C8">
        <w:rPr>
          <w:szCs w:val="28"/>
          <w:lang w:val="ru-RU"/>
        </w:rPr>
        <w:t>1. Для кинематических цепей на основе поворотных блоков резания существенно ниже (оценочно в 1,5 – 1,7 раза) приведенные к валу электродвиг</w:t>
      </w:r>
      <w:r w:rsidRPr="000229C8">
        <w:rPr>
          <w:szCs w:val="28"/>
          <w:lang w:val="ru-RU"/>
        </w:rPr>
        <w:t>а</w:t>
      </w:r>
      <w:r w:rsidRPr="000229C8">
        <w:rPr>
          <w:szCs w:val="28"/>
          <w:lang w:val="ru-RU"/>
        </w:rPr>
        <w:t xml:space="preserve">теля коэффициенты крутильной податливости </w:t>
      </w:r>
      <w:r w:rsidRPr="000229C8">
        <w:rPr>
          <w:i/>
          <w:szCs w:val="28"/>
        </w:rPr>
        <w:t>e</w:t>
      </w:r>
      <w:r w:rsidRPr="000229C8">
        <w:rPr>
          <w:szCs w:val="28"/>
          <w:vertAlign w:val="subscript"/>
          <w:lang w:val="ru-RU"/>
        </w:rPr>
        <w:t>12</w:t>
      </w:r>
      <w:r w:rsidRPr="000229C8">
        <w:rPr>
          <w:szCs w:val="28"/>
          <w:lang w:val="ru-RU"/>
        </w:rPr>
        <w:t xml:space="preserve"> механических участков по</w:t>
      </w:r>
      <w:r w:rsidRPr="000229C8">
        <w:rPr>
          <w:szCs w:val="28"/>
          <w:lang w:val="ru-RU"/>
        </w:rPr>
        <w:t>д</w:t>
      </w:r>
      <w:r w:rsidRPr="000229C8">
        <w:rPr>
          <w:szCs w:val="28"/>
          <w:lang w:val="ru-RU"/>
        </w:rPr>
        <w:t xml:space="preserve">систем привода исполнительных органов. Например, для очистных комбайнов </w:t>
      </w:r>
      <w:r>
        <w:rPr>
          <w:szCs w:val="28"/>
          <w:lang w:val="ru-RU"/>
        </w:rPr>
        <w:t>прежнего поколения (</w:t>
      </w:r>
      <w:r w:rsidRPr="000229C8">
        <w:rPr>
          <w:szCs w:val="28"/>
          <w:lang w:val="ru-RU"/>
        </w:rPr>
        <w:t>1ГШ68, РКУ13</w:t>
      </w:r>
      <w:r>
        <w:rPr>
          <w:szCs w:val="28"/>
          <w:lang w:val="ru-RU"/>
        </w:rPr>
        <w:t>)</w:t>
      </w:r>
      <w:r w:rsidRPr="000229C8">
        <w:rPr>
          <w:szCs w:val="28"/>
          <w:lang w:val="ru-RU"/>
        </w:rPr>
        <w:t xml:space="preserve"> и КДК500 (</w:t>
      </w:r>
      <w:r w:rsidRPr="000229C8">
        <w:rPr>
          <w:szCs w:val="28"/>
        </w:rPr>
        <w:t>I</w:t>
      </w:r>
      <w:r w:rsidRPr="000229C8">
        <w:rPr>
          <w:szCs w:val="28"/>
          <w:lang w:val="ru-RU"/>
        </w:rPr>
        <w:t xml:space="preserve"> типоразмер)</w:t>
      </w:r>
      <w:r>
        <w:rPr>
          <w:szCs w:val="28"/>
          <w:lang w:val="ru-RU"/>
        </w:rPr>
        <w:t xml:space="preserve"> </w:t>
      </w:r>
      <w:r w:rsidRPr="000229C8">
        <w:rPr>
          <w:szCs w:val="28"/>
          <w:lang w:val="ru-RU"/>
        </w:rPr>
        <w:t xml:space="preserve">со сравнимой областью применения оценки значений </w:t>
      </w:r>
      <w:r w:rsidRPr="000229C8">
        <w:rPr>
          <w:i/>
          <w:szCs w:val="28"/>
        </w:rPr>
        <w:t>e</w:t>
      </w:r>
      <w:r w:rsidRPr="000229C8">
        <w:rPr>
          <w:szCs w:val="28"/>
          <w:vertAlign w:val="subscript"/>
          <w:lang w:val="ru-RU"/>
        </w:rPr>
        <w:t>12</w:t>
      </w:r>
      <w:r w:rsidRPr="000229C8">
        <w:rPr>
          <w:szCs w:val="28"/>
          <w:lang w:val="ru-RU"/>
        </w:rPr>
        <w:t xml:space="preserve"> соответственно составляют 600</w:t>
      </w:r>
      <w:r w:rsidRPr="000229C8">
        <w:rPr>
          <w:szCs w:val="28"/>
          <w:lang w:val="ru-RU"/>
        </w:rPr>
        <w:sym w:font="Symbol" w:char="F0D7"/>
      </w:r>
      <w:r w:rsidRPr="000229C8">
        <w:rPr>
          <w:szCs w:val="28"/>
          <w:lang w:val="ru-RU"/>
        </w:rPr>
        <w:t>10</w:t>
      </w:r>
      <w:r w:rsidRPr="000229C8">
        <w:rPr>
          <w:szCs w:val="28"/>
          <w:vertAlign w:val="superscript"/>
          <w:lang w:val="ru-RU"/>
        </w:rPr>
        <w:t>-6</w:t>
      </w:r>
      <w:r w:rsidRPr="000229C8">
        <w:rPr>
          <w:szCs w:val="28"/>
          <w:lang w:val="ru-RU"/>
        </w:rPr>
        <w:t xml:space="preserve"> Н</w:t>
      </w:r>
      <w:r w:rsidRPr="000229C8">
        <w:rPr>
          <w:szCs w:val="28"/>
          <w:vertAlign w:val="superscript"/>
          <w:lang w:val="ru-RU"/>
        </w:rPr>
        <w:t>-1</w:t>
      </w:r>
      <w:r w:rsidRPr="000229C8">
        <w:rPr>
          <w:szCs w:val="28"/>
          <w:lang w:val="ru-RU"/>
        </w:rPr>
        <w:t>м</w:t>
      </w:r>
      <w:r w:rsidRPr="000229C8">
        <w:rPr>
          <w:szCs w:val="28"/>
          <w:vertAlign w:val="superscript"/>
          <w:lang w:val="ru-RU"/>
        </w:rPr>
        <w:t>-1</w:t>
      </w:r>
      <w:r w:rsidRPr="000229C8">
        <w:rPr>
          <w:szCs w:val="28"/>
          <w:lang w:val="ru-RU"/>
        </w:rPr>
        <w:t xml:space="preserve"> , 526</w:t>
      </w:r>
      <w:r w:rsidRPr="000229C8">
        <w:rPr>
          <w:szCs w:val="28"/>
          <w:lang w:val="ru-RU"/>
        </w:rPr>
        <w:sym w:font="Symbol" w:char="F0D7"/>
      </w:r>
      <w:r w:rsidRPr="000229C8">
        <w:rPr>
          <w:szCs w:val="28"/>
          <w:lang w:val="ru-RU"/>
        </w:rPr>
        <w:t>10</w:t>
      </w:r>
      <w:r w:rsidRPr="000229C8">
        <w:rPr>
          <w:szCs w:val="28"/>
          <w:vertAlign w:val="superscript"/>
          <w:lang w:val="ru-RU"/>
        </w:rPr>
        <w:t>-6</w:t>
      </w:r>
      <w:r w:rsidRPr="000229C8">
        <w:rPr>
          <w:szCs w:val="28"/>
          <w:lang w:val="ru-RU"/>
        </w:rPr>
        <w:t xml:space="preserve"> Н</w:t>
      </w:r>
      <w:r w:rsidRPr="000229C8">
        <w:rPr>
          <w:szCs w:val="28"/>
          <w:vertAlign w:val="superscript"/>
          <w:lang w:val="ru-RU"/>
        </w:rPr>
        <w:t>-1</w:t>
      </w:r>
      <w:r w:rsidRPr="000229C8">
        <w:rPr>
          <w:szCs w:val="28"/>
          <w:lang w:val="ru-RU"/>
        </w:rPr>
        <w:t>м</w:t>
      </w:r>
      <w:r w:rsidRPr="000229C8">
        <w:rPr>
          <w:szCs w:val="28"/>
          <w:vertAlign w:val="superscript"/>
          <w:lang w:val="ru-RU"/>
        </w:rPr>
        <w:t>-1</w:t>
      </w:r>
      <w:r w:rsidRPr="000229C8">
        <w:rPr>
          <w:szCs w:val="28"/>
          <w:lang w:val="ru-RU"/>
        </w:rPr>
        <w:t xml:space="preserve"> и 353</w:t>
      </w:r>
      <w:r w:rsidRPr="000229C8">
        <w:rPr>
          <w:szCs w:val="28"/>
          <w:lang w:val="ru-RU"/>
        </w:rPr>
        <w:sym w:font="Symbol" w:char="F0D7"/>
      </w:r>
      <w:r w:rsidRPr="000229C8">
        <w:rPr>
          <w:szCs w:val="28"/>
          <w:lang w:val="ru-RU"/>
        </w:rPr>
        <w:t>10</w:t>
      </w:r>
      <w:r w:rsidRPr="000229C8">
        <w:rPr>
          <w:szCs w:val="28"/>
          <w:vertAlign w:val="superscript"/>
          <w:lang w:val="ru-RU"/>
        </w:rPr>
        <w:t>-6</w:t>
      </w:r>
      <w:r w:rsidRPr="000229C8">
        <w:rPr>
          <w:szCs w:val="28"/>
          <w:lang w:val="ru-RU"/>
        </w:rPr>
        <w:t xml:space="preserve"> Н</w:t>
      </w:r>
      <w:r w:rsidRPr="000229C8">
        <w:rPr>
          <w:szCs w:val="28"/>
          <w:vertAlign w:val="superscript"/>
          <w:lang w:val="ru-RU"/>
        </w:rPr>
        <w:t>-1</w:t>
      </w:r>
      <w:r w:rsidRPr="000229C8">
        <w:rPr>
          <w:szCs w:val="28"/>
          <w:lang w:val="ru-RU"/>
        </w:rPr>
        <w:t>м</w:t>
      </w:r>
      <w:r w:rsidRPr="000229C8">
        <w:rPr>
          <w:szCs w:val="28"/>
          <w:vertAlign w:val="superscript"/>
          <w:lang w:val="ru-RU"/>
        </w:rPr>
        <w:t>-1</w:t>
      </w:r>
      <w:r w:rsidRPr="000229C8">
        <w:rPr>
          <w:szCs w:val="28"/>
          <w:lang w:val="ru-RU"/>
        </w:rPr>
        <w:t xml:space="preserve"> [</w:t>
      </w:r>
      <w:r>
        <w:rPr>
          <w:szCs w:val="28"/>
          <w:lang w:val="ru-RU"/>
        </w:rPr>
        <w:t>1</w:t>
      </w:r>
      <w:r w:rsidRPr="000229C8">
        <w:rPr>
          <w:szCs w:val="28"/>
          <w:lang w:val="ru-RU"/>
        </w:rPr>
        <w:t>].</w:t>
      </w:r>
    </w:p>
    <w:p w:rsidR="00F27983" w:rsidRPr="000229C8" w:rsidRDefault="00F27983" w:rsidP="00F27983">
      <w:pPr>
        <w:pStyle w:val="aa"/>
        <w:widowControl w:val="0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>2</w:t>
      </w:r>
      <w:r w:rsidRPr="000229C8">
        <w:rPr>
          <w:szCs w:val="28"/>
          <w:lang w:val="ru-RU"/>
        </w:rPr>
        <w:t>. Инерционные и упругие динамические характеристики подсистем подв</w:t>
      </w:r>
      <w:r>
        <w:rPr>
          <w:szCs w:val="28"/>
          <w:lang w:val="ru-RU"/>
        </w:rPr>
        <w:t>ес</w:t>
      </w:r>
      <w:r w:rsidRPr="000229C8">
        <w:rPr>
          <w:szCs w:val="28"/>
          <w:lang w:val="ru-RU"/>
        </w:rPr>
        <w:t>ки и перемещения исполнительных органов очистных комбайнов НП (на базе поворотных блоков резания и современных шнеков) также значительно отл</w:t>
      </w:r>
      <w:r w:rsidRPr="000229C8">
        <w:rPr>
          <w:szCs w:val="28"/>
          <w:lang w:val="ru-RU"/>
        </w:rPr>
        <w:t>и</w:t>
      </w:r>
      <w:r w:rsidRPr="000229C8">
        <w:rPr>
          <w:szCs w:val="28"/>
          <w:lang w:val="ru-RU"/>
        </w:rPr>
        <w:t>чаются от соответствующих характеристик для машин прежних поколений.</w:t>
      </w:r>
    </w:p>
    <w:p w:rsidR="00F27983" w:rsidRPr="00FA7D59" w:rsidRDefault="00F27983" w:rsidP="00F27983">
      <w:pPr>
        <w:pStyle w:val="aa"/>
        <w:spacing w:line="240" w:lineRule="auto"/>
        <w:ind w:firstLine="0"/>
        <w:rPr>
          <w:szCs w:val="28"/>
          <w:lang w:val="ru-RU"/>
        </w:rPr>
      </w:pPr>
      <w:r w:rsidRPr="000229C8">
        <w:rPr>
          <w:szCs w:val="28"/>
          <w:lang w:val="ru-RU"/>
        </w:rPr>
        <w:t>Например, массы и моменты инерции относительно осей сопряжения с основными жестко соединенными узлами корпусных подсистем составляют с</w:t>
      </w:r>
      <w:r w:rsidRPr="000229C8">
        <w:rPr>
          <w:szCs w:val="28"/>
          <w:lang w:val="ru-RU"/>
        </w:rPr>
        <w:t>о</w:t>
      </w:r>
      <w:r w:rsidRPr="000229C8">
        <w:rPr>
          <w:szCs w:val="28"/>
          <w:lang w:val="ru-RU"/>
        </w:rPr>
        <w:t>ответственно:</w:t>
      </w:r>
      <w:r>
        <w:rPr>
          <w:szCs w:val="28"/>
          <w:lang w:val="ru-RU"/>
        </w:rPr>
        <w:t xml:space="preserve"> </w:t>
      </w:r>
      <w:r w:rsidRPr="000229C8">
        <w:rPr>
          <w:lang w:val="ru-RU"/>
        </w:rPr>
        <w:t xml:space="preserve">для ПБР с трехлопастным шнеком с </w:t>
      </w:r>
      <w:r w:rsidRPr="000229C8">
        <w:rPr>
          <w:i/>
        </w:rPr>
        <w:t>D</w:t>
      </w:r>
      <w:r>
        <w:rPr>
          <w:i/>
          <w:vertAlign w:val="subscript"/>
          <w:lang w:val="ru-RU"/>
        </w:rPr>
        <w:t>и</w:t>
      </w:r>
      <w:r w:rsidRPr="000229C8">
        <w:rPr>
          <w:lang w:val="ru-RU"/>
        </w:rPr>
        <w:t xml:space="preserve"> = </w:t>
      </w:r>
      <w:smartTag w:uri="urn:schemas-microsoft-com:office:smarttags" w:element="metricconverter">
        <w:smartTagPr>
          <w:attr w:name="ProductID" w:val="1,25 м"/>
        </w:smartTagPr>
        <w:r w:rsidRPr="000229C8">
          <w:rPr>
            <w:lang w:val="ru-RU"/>
          </w:rPr>
          <w:t>1,25 м</w:t>
        </w:r>
      </w:smartTag>
      <w:r w:rsidRPr="000229C8">
        <w:rPr>
          <w:lang w:val="ru-RU"/>
        </w:rPr>
        <w:t xml:space="preserve"> и </w:t>
      </w:r>
      <w:r w:rsidRPr="000229C8">
        <w:rPr>
          <w:i/>
          <w:lang w:val="ru-RU"/>
        </w:rPr>
        <w:t>В</w:t>
      </w:r>
      <w:r w:rsidRPr="000229C8">
        <w:rPr>
          <w:vertAlign w:val="subscript"/>
          <w:lang w:val="ru-RU"/>
        </w:rPr>
        <w:t>3</w:t>
      </w:r>
      <w:r w:rsidRPr="000229C8">
        <w:rPr>
          <w:lang w:val="ru-RU"/>
        </w:rPr>
        <w:t xml:space="preserve"> = </w:t>
      </w:r>
      <w:smartTag w:uri="urn:schemas-microsoft-com:office:smarttags" w:element="metricconverter">
        <w:smartTagPr>
          <w:attr w:name="ProductID" w:val="0,63 м"/>
        </w:smartTagPr>
        <w:r w:rsidRPr="000229C8">
          <w:rPr>
            <w:lang w:val="ru-RU"/>
          </w:rPr>
          <w:t>0,63 м</w:t>
        </w:r>
      </w:smartTag>
      <w:r w:rsidRPr="000229C8">
        <w:rPr>
          <w:lang w:val="ru-RU"/>
        </w:rPr>
        <w:t xml:space="preserve"> констру</w:t>
      </w:r>
      <w:r w:rsidRPr="000229C8">
        <w:rPr>
          <w:lang w:val="ru-RU"/>
        </w:rPr>
        <w:t>к</w:t>
      </w:r>
      <w:r w:rsidRPr="000229C8">
        <w:rPr>
          <w:lang w:val="ru-RU"/>
        </w:rPr>
        <w:t xml:space="preserve">ции Донгипроуглемаша в составе комбайна КДК500 – </w:t>
      </w:r>
      <w:smartTag w:uri="urn:schemas-microsoft-com:office:smarttags" w:element="metricconverter">
        <w:smartTagPr>
          <w:attr w:name="ProductID" w:val="4932 кг"/>
        </w:smartTagPr>
        <w:r w:rsidRPr="000229C8">
          <w:rPr>
            <w:lang w:val="ru-RU"/>
          </w:rPr>
          <w:t>4932 кг</w:t>
        </w:r>
      </w:smartTag>
      <w:r w:rsidRPr="000229C8">
        <w:rPr>
          <w:lang w:val="ru-RU"/>
        </w:rPr>
        <w:t xml:space="preserve"> и </w:t>
      </w:r>
      <w:smartTag w:uri="urn:schemas-microsoft-com:office:smarttags" w:element="metricconverter">
        <w:smartTagPr>
          <w:attr w:name="ProductID" w:val="12937 кг"/>
        </w:smartTagPr>
        <w:r w:rsidRPr="000229C8">
          <w:rPr>
            <w:lang w:val="ru-RU"/>
          </w:rPr>
          <w:t>12937 кг</w:t>
        </w:r>
      </w:smartTag>
      <w:r w:rsidRPr="000229C8">
        <w:rPr>
          <w:lang w:val="ru-RU"/>
        </w:rPr>
        <w:sym w:font="Symbol" w:char="F0D7"/>
      </w:r>
      <w:r w:rsidRPr="000229C8">
        <w:rPr>
          <w:lang w:val="ru-RU"/>
        </w:rPr>
        <w:t>м</w:t>
      </w:r>
      <w:r w:rsidRPr="000229C8">
        <w:rPr>
          <w:vertAlign w:val="superscript"/>
          <w:lang w:val="ru-RU"/>
        </w:rPr>
        <w:t>2</w:t>
      </w:r>
      <w:proofErr w:type="gramStart"/>
      <w:r w:rsidRPr="000229C8">
        <w:rPr>
          <w:lang w:val="ru-RU"/>
        </w:rPr>
        <w:t xml:space="preserve"> ;</w:t>
      </w:r>
      <w:proofErr w:type="gramEnd"/>
      <w:r>
        <w:rPr>
          <w:szCs w:val="28"/>
          <w:lang w:val="ru-RU"/>
        </w:rPr>
        <w:t xml:space="preserve"> </w:t>
      </w:r>
      <w:r w:rsidRPr="000229C8">
        <w:rPr>
          <w:lang w:val="ru-RU"/>
        </w:rPr>
        <w:t xml:space="preserve">для поворотного редуктора с двухлопастным шнеком ШН126Р с теми же значениями </w:t>
      </w:r>
      <w:r w:rsidRPr="000229C8">
        <w:rPr>
          <w:i/>
        </w:rPr>
        <w:t>D</w:t>
      </w:r>
      <w:r>
        <w:rPr>
          <w:i/>
          <w:vertAlign w:val="subscript"/>
          <w:lang w:val="ru-RU"/>
        </w:rPr>
        <w:t>и</w:t>
      </w:r>
      <w:r w:rsidRPr="000229C8">
        <w:rPr>
          <w:lang w:val="ru-RU"/>
        </w:rPr>
        <w:t xml:space="preserve"> и </w:t>
      </w:r>
      <w:r w:rsidRPr="000229C8">
        <w:rPr>
          <w:i/>
          <w:lang w:val="ru-RU"/>
        </w:rPr>
        <w:t>В</w:t>
      </w:r>
      <w:r w:rsidRPr="000229C8">
        <w:rPr>
          <w:vertAlign w:val="subscript"/>
          <w:lang w:val="ru-RU"/>
        </w:rPr>
        <w:t>3</w:t>
      </w:r>
      <w:r w:rsidRPr="000229C8">
        <w:rPr>
          <w:vertAlign w:val="superscript"/>
          <w:lang w:val="ru-RU"/>
        </w:rPr>
        <w:t xml:space="preserve"> </w:t>
      </w:r>
      <w:r w:rsidRPr="000229C8">
        <w:rPr>
          <w:lang w:val="ru-RU"/>
        </w:rPr>
        <w:t xml:space="preserve"> в составе машины 1ГШ68 – </w:t>
      </w:r>
      <w:smartTag w:uri="urn:schemas-microsoft-com:office:smarttags" w:element="metricconverter">
        <w:smartTagPr>
          <w:attr w:name="ProductID" w:val="3267 кг"/>
        </w:smartTagPr>
        <w:r w:rsidRPr="000229C8">
          <w:rPr>
            <w:lang w:val="ru-RU"/>
          </w:rPr>
          <w:t>3267 кг</w:t>
        </w:r>
      </w:smartTag>
      <w:r w:rsidRPr="000229C8">
        <w:rPr>
          <w:lang w:val="ru-RU"/>
        </w:rPr>
        <w:t xml:space="preserve"> и </w:t>
      </w:r>
      <w:smartTag w:uri="urn:schemas-microsoft-com:office:smarttags" w:element="metricconverter">
        <w:smartTagPr>
          <w:attr w:name="ProductID" w:val="4355 кг"/>
        </w:smartTagPr>
        <w:r w:rsidRPr="000229C8">
          <w:rPr>
            <w:lang w:val="ru-RU"/>
          </w:rPr>
          <w:t>4355 кг</w:t>
        </w:r>
      </w:smartTag>
      <w:r w:rsidRPr="000229C8">
        <w:rPr>
          <w:lang w:val="ru-RU"/>
        </w:rPr>
        <w:sym w:font="Symbol" w:char="F0D7"/>
      </w:r>
      <w:r w:rsidRPr="000229C8">
        <w:rPr>
          <w:lang w:val="ru-RU"/>
        </w:rPr>
        <w:t>м</w:t>
      </w:r>
      <w:proofErr w:type="gramStart"/>
      <w:r w:rsidRPr="000229C8">
        <w:rPr>
          <w:vertAlign w:val="superscript"/>
          <w:lang w:val="ru-RU"/>
        </w:rPr>
        <w:t>2</w:t>
      </w:r>
      <w:proofErr w:type="gramEnd"/>
      <w:r w:rsidRPr="000229C8">
        <w:rPr>
          <w:lang w:val="ru-RU"/>
        </w:rPr>
        <w:t xml:space="preserve"> [</w:t>
      </w:r>
      <w:r>
        <w:rPr>
          <w:lang w:val="ru-RU"/>
        </w:rPr>
        <w:t>1</w:t>
      </w:r>
      <w:r w:rsidRPr="000229C8">
        <w:rPr>
          <w:lang w:val="ru-RU"/>
        </w:rPr>
        <w:t>].</w:t>
      </w:r>
    </w:p>
    <w:p w:rsidR="00F27983" w:rsidRPr="000229C8" w:rsidRDefault="00F27983" w:rsidP="00F27983">
      <w:pPr>
        <w:pStyle w:val="aa"/>
        <w:spacing w:line="240" w:lineRule="auto"/>
        <w:rPr>
          <w:lang w:val="ru-RU"/>
        </w:rPr>
      </w:pPr>
      <w:r>
        <w:rPr>
          <w:lang w:val="ru-RU"/>
        </w:rPr>
        <w:t>3</w:t>
      </w:r>
      <w:r w:rsidRPr="000229C8">
        <w:rPr>
          <w:lang w:val="ru-RU"/>
        </w:rPr>
        <w:t>. Отсутствуют динамические взаимосвязи между подсистемами привода на основе поворотных блоков резания и подсистемами подвески и перемещения исполнительных органов, которые имели место при реализации механич</w:t>
      </w:r>
      <w:r w:rsidRPr="000229C8">
        <w:rPr>
          <w:lang w:val="ru-RU"/>
        </w:rPr>
        <w:t>е</w:t>
      </w:r>
      <w:r w:rsidRPr="000229C8">
        <w:rPr>
          <w:lang w:val="ru-RU"/>
        </w:rPr>
        <w:t>ских участков подсистем привода в виде основных и поворотных редукторов.</w:t>
      </w:r>
    </w:p>
    <w:p w:rsidR="00F27983" w:rsidRPr="000229C8" w:rsidRDefault="00F27983" w:rsidP="00F27983">
      <w:pPr>
        <w:pStyle w:val="aa"/>
        <w:spacing w:line="240" w:lineRule="auto"/>
        <w:rPr>
          <w:lang w:val="ru-RU"/>
        </w:rPr>
      </w:pPr>
      <w:r>
        <w:rPr>
          <w:lang w:val="ru-RU"/>
        </w:rPr>
        <w:t>4</w:t>
      </w:r>
      <w:r w:rsidRPr="000229C8">
        <w:rPr>
          <w:lang w:val="ru-RU"/>
        </w:rPr>
        <w:t>. Весьма существенно (в большую сторону) отличаются коэффициенты продольной жесткости нового жесткого тягового органа ЭЙКОТРЭК по сравн</w:t>
      </w:r>
      <w:r w:rsidRPr="000229C8">
        <w:rPr>
          <w:lang w:val="ru-RU"/>
        </w:rPr>
        <w:t>е</w:t>
      </w:r>
      <w:r w:rsidRPr="000229C8">
        <w:rPr>
          <w:lang w:val="ru-RU"/>
        </w:rPr>
        <w:t>нию с ранее широко используем</w:t>
      </w:r>
      <w:r>
        <w:rPr>
          <w:lang w:val="ru-RU"/>
        </w:rPr>
        <w:t xml:space="preserve">ым для машин прежнего поколения </w:t>
      </w:r>
      <w:r w:rsidRPr="000229C8">
        <w:rPr>
          <w:lang w:val="ru-RU"/>
        </w:rPr>
        <w:t>тяговым о</w:t>
      </w:r>
      <w:r w:rsidRPr="000229C8">
        <w:rPr>
          <w:lang w:val="ru-RU"/>
        </w:rPr>
        <w:t>р</w:t>
      </w:r>
      <w:r w:rsidRPr="000229C8">
        <w:rPr>
          <w:lang w:val="ru-RU"/>
        </w:rPr>
        <w:t>ганом типа 3БСП. Это обусловлено принципиально разным характером взаим</w:t>
      </w:r>
      <w:r w:rsidRPr="000229C8">
        <w:rPr>
          <w:lang w:val="ru-RU"/>
        </w:rPr>
        <w:t>о</w:t>
      </w:r>
      <w:r w:rsidRPr="000229C8">
        <w:rPr>
          <w:lang w:val="ru-RU"/>
        </w:rPr>
        <w:t>действий звеньев рассматриваемых органов при работе [</w:t>
      </w:r>
      <w:r>
        <w:rPr>
          <w:lang w:val="ru-RU"/>
        </w:rPr>
        <w:t>1</w:t>
      </w:r>
      <w:r w:rsidRPr="000229C8">
        <w:rPr>
          <w:lang w:val="ru-RU"/>
        </w:rPr>
        <w:t>].</w:t>
      </w:r>
    </w:p>
    <w:p w:rsidR="00F27983" w:rsidRDefault="00F27983" w:rsidP="00F27983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 xml:space="preserve"> Значительные структурно-параметрические отличия очистных комба</w:t>
      </w:r>
      <w:r w:rsidRPr="000229C8">
        <w:rPr>
          <w:lang w:val="ru-RU"/>
        </w:rPr>
        <w:t>й</w:t>
      </w:r>
      <w:r w:rsidRPr="000229C8">
        <w:rPr>
          <w:lang w:val="ru-RU"/>
        </w:rPr>
        <w:t xml:space="preserve">нов НП как динамических объектов от их предшественников (некоторые </w:t>
      </w:r>
      <w:r>
        <w:rPr>
          <w:lang w:val="ru-RU"/>
        </w:rPr>
        <w:t>пр</w:t>
      </w:r>
      <w:r>
        <w:rPr>
          <w:lang w:val="ru-RU"/>
        </w:rPr>
        <w:t>и</w:t>
      </w:r>
      <w:r>
        <w:rPr>
          <w:lang w:val="ru-RU"/>
        </w:rPr>
        <w:t>меры</w:t>
      </w:r>
      <w:r w:rsidRPr="000229C8">
        <w:rPr>
          <w:lang w:val="ru-RU"/>
        </w:rPr>
        <w:t xml:space="preserve"> приведены выше) существенно влияют на д</w:t>
      </w:r>
      <w:r>
        <w:rPr>
          <w:lang w:val="ru-RU"/>
        </w:rPr>
        <w:t xml:space="preserve">инамические свойства этих машин. </w:t>
      </w:r>
    </w:p>
    <w:p w:rsidR="00F27983" w:rsidRPr="00585E60" w:rsidRDefault="00F27983" w:rsidP="00F27983">
      <w:pPr>
        <w:pStyle w:val="aa"/>
        <w:spacing w:line="240" w:lineRule="auto"/>
        <w:rPr>
          <w:lang w:val="ru-RU"/>
        </w:rPr>
      </w:pPr>
      <w:r w:rsidRPr="00585E60">
        <w:rPr>
          <w:lang w:val="ru-RU"/>
        </w:rPr>
        <w:t xml:space="preserve">Основные особенности отличий применительно к </w:t>
      </w:r>
      <w:r w:rsidRPr="00585E60">
        <w:t>IV</w:t>
      </w:r>
      <w:r w:rsidRPr="00585E60">
        <w:rPr>
          <w:lang w:val="ru-RU"/>
        </w:rPr>
        <w:t xml:space="preserve"> группе сл</w:t>
      </w:r>
      <w:r w:rsidRPr="00585E60">
        <w:rPr>
          <w:lang w:val="ru-RU"/>
        </w:rPr>
        <w:t>е</w:t>
      </w:r>
      <w:r w:rsidRPr="00585E60">
        <w:rPr>
          <w:lang w:val="ru-RU"/>
        </w:rPr>
        <w:t>дующие.</w:t>
      </w:r>
    </w:p>
    <w:p w:rsidR="00F27983" w:rsidRDefault="00F27983" w:rsidP="00F27983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>Как показано в работах [</w:t>
      </w:r>
      <w:r>
        <w:rPr>
          <w:lang w:val="ru-RU"/>
        </w:rPr>
        <w:t>2,1</w:t>
      </w:r>
      <w:r w:rsidRPr="000229C8">
        <w:rPr>
          <w:lang w:val="ru-RU"/>
        </w:rPr>
        <w:t>], наиболее высоким уровнем мехатр</w:t>
      </w:r>
      <w:r w:rsidRPr="000229C8">
        <w:rPr>
          <w:lang w:val="ru-RU"/>
        </w:rPr>
        <w:t>о</w:t>
      </w:r>
      <w:r w:rsidRPr="000229C8">
        <w:rPr>
          <w:lang w:val="ru-RU"/>
        </w:rPr>
        <w:t>низации обладают сложные горные машины, в т.ч. очистные комбайны НП, ст</w:t>
      </w:r>
      <w:r w:rsidRPr="000229C8">
        <w:rPr>
          <w:lang w:val="ru-RU"/>
        </w:rPr>
        <w:t>е</w:t>
      </w:r>
      <w:r w:rsidRPr="000229C8">
        <w:rPr>
          <w:lang w:val="ru-RU"/>
        </w:rPr>
        <w:t>пень сложности управления которыми не позволяет обеспечить но</w:t>
      </w:r>
      <w:r w:rsidRPr="000229C8">
        <w:rPr>
          <w:lang w:val="ru-RU"/>
        </w:rPr>
        <w:t>р</w:t>
      </w:r>
      <w:r w:rsidRPr="000229C8">
        <w:rPr>
          <w:lang w:val="ru-RU"/>
        </w:rPr>
        <w:t>мальное функционирование этих объектов без информационн</w:t>
      </w:r>
      <w:r>
        <w:rPr>
          <w:lang w:val="ru-RU"/>
        </w:rPr>
        <w:t>о-электронных</w:t>
      </w:r>
      <w:r w:rsidRPr="000229C8">
        <w:rPr>
          <w:lang w:val="ru-RU"/>
        </w:rPr>
        <w:t xml:space="preserve">  компонент, синергетически связанных с традиционными (механическими, электротехнич</w:t>
      </w:r>
      <w:r w:rsidRPr="000229C8">
        <w:rPr>
          <w:lang w:val="ru-RU"/>
        </w:rPr>
        <w:t>е</w:t>
      </w:r>
      <w:r w:rsidRPr="000229C8">
        <w:rPr>
          <w:lang w:val="ru-RU"/>
        </w:rPr>
        <w:t>скими и гидравлич</w:t>
      </w:r>
      <w:r>
        <w:rPr>
          <w:lang w:val="ru-RU"/>
        </w:rPr>
        <w:t>ескими) структурными элементами.</w:t>
      </w:r>
    </w:p>
    <w:p w:rsidR="00F27983" w:rsidRPr="000229C8" w:rsidRDefault="00F27983" w:rsidP="00F27983">
      <w:pPr>
        <w:pStyle w:val="aa"/>
        <w:spacing w:line="240" w:lineRule="auto"/>
        <w:rPr>
          <w:lang w:val="ru-RU"/>
        </w:rPr>
      </w:pPr>
      <w:proofErr w:type="gramStart"/>
      <w:r w:rsidRPr="000229C8">
        <w:rPr>
          <w:lang w:val="ru-RU"/>
        </w:rPr>
        <w:t>В работе [</w:t>
      </w:r>
      <w:r>
        <w:rPr>
          <w:lang w:val="ru-RU"/>
        </w:rPr>
        <w:t>3</w:t>
      </w:r>
      <w:r w:rsidRPr="000229C8">
        <w:rPr>
          <w:lang w:val="ru-RU"/>
        </w:rPr>
        <w:t xml:space="preserve">] отмечается, что доля </w:t>
      </w:r>
      <w:r>
        <w:rPr>
          <w:lang w:val="ru-RU"/>
        </w:rPr>
        <w:t xml:space="preserve">электронных и </w:t>
      </w:r>
      <w:r w:rsidRPr="000229C8">
        <w:rPr>
          <w:lang w:val="ru-RU"/>
        </w:rPr>
        <w:t>информационных компонент в структуре управления у очистных комбайнов типа РКУ пре</w:t>
      </w:r>
      <w:r>
        <w:rPr>
          <w:lang w:val="ru-RU"/>
        </w:rPr>
        <w:t>жнего</w:t>
      </w:r>
      <w:r w:rsidRPr="000229C8">
        <w:rPr>
          <w:lang w:val="ru-RU"/>
        </w:rPr>
        <w:t xml:space="preserve"> п</w:t>
      </w:r>
      <w:r w:rsidRPr="000229C8">
        <w:rPr>
          <w:lang w:val="ru-RU"/>
        </w:rPr>
        <w:t>о</w:t>
      </w:r>
      <w:r w:rsidRPr="000229C8">
        <w:rPr>
          <w:lang w:val="ru-RU"/>
        </w:rPr>
        <w:t>колени</w:t>
      </w:r>
      <w:r>
        <w:rPr>
          <w:lang w:val="ru-RU"/>
        </w:rPr>
        <w:t>я</w:t>
      </w:r>
      <w:r w:rsidRPr="000229C8">
        <w:rPr>
          <w:lang w:val="ru-RU"/>
        </w:rPr>
        <w:t xml:space="preserve"> и у машин типа КДК500 НП оценивается соответственно</w:t>
      </w:r>
      <w:r>
        <w:rPr>
          <w:lang w:val="ru-RU"/>
        </w:rPr>
        <w:t xml:space="preserve"> в</w:t>
      </w:r>
      <w:r w:rsidRPr="000229C8">
        <w:rPr>
          <w:lang w:val="ru-RU"/>
        </w:rPr>
        <w:t xml:space="preserve"> 11% и в 41</w:t>
      </w:r>
      <w:r>
        <w:rPr>
          <w:lang w:val="ru-RU"/>
        </w:rPr>
        <w:t xml:space="preserve">%. Здесь также отмечается, что </w:t>
      </w:r>
      <w:r w:rsidRPr="000229C8">
        <w:rPr>
          <w:lang w:val="ru-RU"/>
        </w:rPr>
        <w:t>комбайн КДК500 мехатронного кла</w:t>
      </w:r>
      <w:r w:rsidRPr="000229C8">
        <w:rPr>
          <w:lang w:val="ru-RU"/>
        </w:rPr>
        <w:t>с</w:t>
      </w:r>
      <w:r w:rsidRPr="000229C8">
        <w:rPr>
          <w:lang w:val="ru-RU"/>
        </w:rPr>
        <w:t>са содержит около 30 информационн</w:t>
      </w:r>
      <w:r>
        <w:rPr>
          <w:lang w:val="ru-RU"/>
        </w:rPr>
        <w:t>о-электронных</w:t>
      </w:r>
      <w:r w:rsidRPr="000229C8">
        <w:rPr>
          <w:lang w:val="ru-RU"/>
        </w:rPr>
        <w:t xml:space="preserve"> элементов, объединенных в единую информационную сеть друг с другом и с другими механи</w:t>
      </w:r>
      <w:r w:rsidRPr="000229C8">
        <w:rPr>
          <w:lang w:val="ru-RU"/>
        </w:rPr>
        <w:t>з</w:t>
      </w:r>
      <w:r w:rsidRPr="000229C8">
        <w:rPr>
          <w:lang w:val="ru-RU"/>
        </w:rPr>
        <w:t>мами.</w:t>
      </w:r>
      <w:proofErr w:type="gramEnd"/>
    </w:p>
    <w:p w:rsidR="00F27983" w:rsidRPr="000229C8" w:rsidRDefault="00F27983" w:rsidP="00F27983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 xml:space="preserve">Для таких машин НП важнейшими структурными элементами подсистем автоматизации являются </w:t>
      </w:r>
      <w:r w:rsidRPr="00BD379E">
        <w:rPr>
          <w:lang w:val="ru-RU"/>
        </w:rPr>
        <w:t>преобразователи</w:t>
      </w:r>
      <w:r w:rsidRPr="000229C8">
        <w:rPr>
          <w:lang w:val="ru-RU"/>
        </w:rPr>
        <w:t xml:space="preserve"> частоты и комплексы технических средств управления. Преобразователи частоты управляют формированием р</w:t>
      </w:r>
      <w:r w:rsidRPr="000229C8">
        <w:rPr>
          <w:lang w:val="ru-RU"/>
        </w:rPr>
        <w:t>а</w:t>
      </w:r>
      <w:r w:rsidRPr="000229C8">
        <w:rPr>
          <w:lang w:val="ru-RU"/>
        </w:rPr>
        <w:t>циональных искусственных механических характеристик подсистем подачи и могут устанавливаться на штреке (УКД300) или в энергоблоке на самом комбайне (КДК400, КДК500, КДК700). Комплексы технических средств управл</w:t>
      </w:r>
      <w:r w:rsidRPr="000229C8">
        <w:rPr>
          <w:lang w:val="ru-RU"/>
        </w:rPr>
        <w:t>е</w:t>
      </w:r>
      <w:r w:rsidRPr="000229C8">
        <w:rPr>
          <w:lang w:val="ru-RU"/>
        </w:rPr>
        <w:t>ния комбайнами, располагаемые частично на штреке и частично на самих машинах, применительно к рассматриваемым вопросам (в целом их функци</w:t>
      </w:r>
      <w:r w:rsidRPr="000229C8">
        <w:rPr>
          <w:lang w:val="ru-RU"/>
        </w:rPr>
        <w:t>о</w:t>
      </w:r>
      <w:r w:rsidRPr="000229C8">
        <w:rPr>
          <w:lang w:val="ru-RU"/>
        </w:rPr>
        <w:t xml:space="preserve">нальное назначение шире) выполняют </w:t>
      </w:r>
      <w:r>
        <w:rPr>
          <w:lang w:val="ru-RU"/>
        </w:rPr>
        <w:t xml:space="preserve">функции </w:t>
      </w:r>
      <w:r w:rsidRPr="000229C8">
        <w:rPr>
          <w:lang w:val="ru-RU"/>
        </w:rPr>
        <w:t xml:space="preserve">регуляторов режимов работы </w:t>
      </w:r>
      <w:r>
        <w:rPr>
          <w:lang w:val="ru-RU"/>
        </w:rPr>
        <w:t xml:space="preserve">и </w:t>
      </w:r>
      <w:r w:rsidRPr="000229C8">
        <w:rPr>
          <w:lang w:val="ru-RU"/>
        </w:rPr>
        <w:t>обеспечения необходимых защит</w:t>
      </w:r>
      <w:r>
        <w:rPr>
          <w:lang w:val="ru-RU"/>
        </w:rPr>
        <w:t>.</w:t>
      </w:r>
    </w:p>
    <w:p w:rsidR="00F27983" w:rsidRDefault="00F27983" w:rsidP="00F27983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>Современные мехатронные комбайны оснащены средствами контроля технического состояния и диагностики ответственных узлов, снабжены рядом сенсорных устройств в виде датчиков тока, температуры обмоток электродвиг</w:t>
      </w:r>
      <w:r w:rsidRPr="000229C8">
        <w:rPr>
          <w:lang w:val="ru-RU"/>
        </w:rPr>
        <w:t>а</w:t>
      </w:r>
      <w:r>
        <w:rPr>
          <w:lang w:val="ru-RU"/>
        </w:rPr>
        <w:t>телей и</w:t>
      </w:r>
      <w:r w:rsidRPr="000229C8">
        <w:rPr>
          <w:lang w:val="ru-RU"/>
        </w:rPr>
        <w:t xml:space="preserve"> масла в редукторах и гидросистеме, расхода и температуры воды для п</w:t>
      </w:r>
      <w:r w:rsidRPr="000229C8">
        <w:rPr>
          <w:lang w:val="ru-RU"/>
        </w:rPr>
        <w:t>ы</w:t>
      </w:r>
      <w:r w:rsidRPr="000229C8">
        <w:rPr>
          <w:lang w:val="ru-RU"/>
        </w:rPr>
        <w:t>леподавления и охлаждения и др.</w:t>
      </w:r>
    </w:p>
    <w:p w:rsidR="00F27983" w:rsidRDefault="00F27983" w:rsidP="00F27983">
      <w:pPr>
        <w:pStyle w:val="aa"/>
        <w:spacing w:line="240" w:lineRule="auto"/>
        <w:rPr>
          <w:lang w:val="ru-RU"/>
        </w:rPr>
      </w:pPr>
    </w:p>
    <w:p w:rsidR="00F27983" w:rsidRDefault="00F27983" w:rsidP="00F27983">
      <w:pPr>
        <w:pStyle w:val="aa"/>
        <w:spacing w:line="240" w:lineRule="auto"/>
        <w:ind w:firstLine="0"/>
        <w:jc w:val="center"/>
        <w:rPr>
          <w:lang w:val="ru-RU"/>
        </w:rPr>
      </w:pPr>
      <w:r>
        <w:rPr>
          <w:lang w:val="ru-RU"/>
        </w:rPr>
        <w:t>Перечень ссылок</w:t>
      </w:r>
    </w:p>
    <w:p w:rsidR="00F27983" w:rsidRDefault="00F27983" w:rsidP="00F27983">
      <w:pPr>
        <w:pStyle w:val="aa"/>
        <w:spacing w:line="240" w:lineRule="auto"/>
        <w:ind w:firstLine="360"/>
        <w:rPr>
          <w:lang w:val="ru-RU"/>
        </w:rPr>
      </w:pPr>
      <w:r w:rsidRPr="005364E6">
        <w:rPr>
          <w:lang w:val="ru-RU"/>
        </w:rPr>
        <w:t>1.</w:t>
      </w:r>
      <w:r>
        <w:rPr>
          <w:lang w:val="ru-RU"/>
        </w:rPr>
        <w:t xml:space="preserve"> Разработка теории функционирования и методов оптимального проектирования для выемочных комбайнов нового поколения</w:t>
      </w:r>
      <w:r w:rsidRPr="0018028F">
        <w:rPr>
          <w:lang w:val="ru-RU"/>
        </w:rPr>
        <w:t>:</w:t>
      </w:r>
      <w:r>
        <w:rPr>
          <w:lang w:val="ru-RU"/>
        </w:rPr>
        <w:t xml:space="preserve"> Отчет / Донецк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н</w:t>
      </w:r>
      <w:proofErr w:type="gramEnd"/>
      <w:r>
        <w:rPr>
          <w:lang w:val="ru-RU"/>
        </w:rPr>
        <w:t>ациональный технический университет; Руководитель П.А. Горбатов; №ГР0106</w:t>
      </w:r>
      <w:r>
        <w:t>U</w:t>
      </w:r>
      <w:r w:rsidRPr="005364E6">
        <w:rPr>
          <w:lang w:val="ru-RU"/>
        </w:rPr>
        <w:t>002278</w:t>
      </w:r>
      <w:r>
        <w:rPr>
          <w:lang w:val="ru-RU"/>
        </w:rPr>
        <w:t>. –Донецк, 2008. -435с.</w:t>
      </w:r>
    </w:p>
    <w:p w:rsidR="00F27983" w:rsidRDefault="00F27983" w:rsidP="00F27983">
      <w:pPr>
        <w:pStyle w:val="aa"/>
        <w:spacing w:line="240" w:lineRule="auto"/>
        <w:ind w:firstLine="360"/>
        <w:rPr>
          <w:lang w:val="ru-RU"/>
        </w:rPr>
      </w:pPr>
      <w:r>
        <w:rPr>
          <w:lang w:val="ru-RU"/>
        </w:rPr>
        <w:t xml:space="preserve">2. Горбатов П.А., Косарев В.В., Стадник Н.И. Концептуальная характеристика сложных горных машин как мехатронных систем // Научные труды ДонНТУ. Выпуск 104, серия горно-электромеханическая. </w:t>
      </w:r>
      <w:proofErr w:type="gramStart"/>
      <w:r>
        <w:rPr>
          <w:lang w:val="ru-RU"/>
        </w:rPr>
        <w:t>–Д</w:t>
      </w:r>
      <w:proofErr w:type="gramEnd"/>
      <w:r>
        <w:rPr>
          <w:lang w:val="ru-RU"/>
        </w:rPr>
        <w:t>онецк: ДонНТУ, 2006. –с. 53-61.</w:t>
      </w:r>
    </w:p>
    <w:p w:rsidR="00F27983" w:rsidRDefault="00F27983" w:rsidP="00F27983">
      <w:pPr>
        <w:pStyle w:val="aa"/>
        <w:spacing w:line="240" w:lineRule="auto"/>
        <w:ind w:firstLine="360"/>
        <w:rPr>
          <w:lang w:val="ru-RU"/>
        </w:rPr>
      </w:pPr>
      <w:r>
        <w:rPr>
          <w:lang w:val="ru-RU"/>
        </w:rPr>
        <w:t>3. Принципы мехатроники при проектировании горных машин / Н.И. Стадник, А.В. Сергеев, А.В. Мезников, В.П. Кондрахин // Материалы международной конференции «Форум горняков – 2007». –Днепропетровск: НГУ, 2007. –с. 7-17.</w:t>
      </w:r>
    </w:p>
    <w:p w:rsidR="006B24A4" w:rsidRPr="00F27983" w:rsidRDefault="006B24A4" w:rsidP="00F27983">
      <w:bookmarkStart w:id="0" w:name="_GoBack"/>
      <w:bookmarkEnd w:id="0"/>
    </w:p>
    <w:sectPr w:rsidR="006B24A4" w:rsidRPr="00F2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333700"/>
    <w:rsid w:val="003E40D6"/>
    <w:rsid w:val="00481219"/>
    <w:rsid w:val="006B24A4"/>
    <w:rsid w:val="00775A36"/>
    <w:rsid w:val="00C71F21"/>
    <w:rsid w:val="00CE0789"/>
    <w:rsid w:val="00CE1B07"/>
    <w:rsid w:val="00D665BA"/>
    <w:rsid w:val="00ED0EB6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2012-05-31T18:02:00Z</dcterms:created>
  <dcterms:modified xsi:type="dcterms:W3CDTF">2012-05-31T18:02:00Z</dcterms:modified>
</cp:coreProperties>
</file>