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18" w:type="pct"/>
        <w:jc w:val="center"/>
        <w:tblLook w:val="04A0" w:firstRow="1" w:lastRow="0" w:firstColumn="1" w:lastColumn="0" w:noHBand="0" w:noVBand="1"/>
      </w:tblPr>
      <w:tblGrid>
        <w:gridCol w:w="4251"/>
        <w:gridCol w:w="5163"/>
      </w:tblGrid>
      <w:tr w:rsidR="008124F0" w:rsidRPr="008124F0" w:rsidTr="00B36FDB">
        <w:trPr>
          <w:jc w:val="center"/>
        </w:trPr>
        <w:tc>
          <w:tcPr>
            <w:tcW w:w="4935" w:type="pct"/>
            <w:gridSpan w:val="2"/>
          </w:tcPr>
          <w:p w:rsidR="008124F0" w:rsidRPr="008124F0" w:rsidRDefault="008124F0" w:rsidP="008124F0">
            <w:pPr>
              <w:shd w:val="clear" w:color="auto" w:fill="FFFFFF"/>
              <w:spacing w:after="0" w:line="240" w:lineRule="auto"/>
              <w:rPr>
                <w:rFonts w:ascii="Times New Roman" w:eastAsia="Times New Roman" w:hAnsi="Times New Roman" w:cs="Times New Roman"/>
                <w:b/>
                <w:color w:val="000000" w:themeColor="text1"/>
                <w:sz w:val="28"/>
              </w:rPr>
            </w:pPr>
            <w:r w:rsidRPr="008124F0">
              <w:rPr>
                <w:rFonts w:ascii="Times New Roman" w:hAnsi="Times New Roman" w:cs="Times New Roman"/>
                <w:b/>
                <w:color w:val="000000" w:themeColor="text1"/>
                <w:sz w:val="28"/>
                <w:szCs w:val="28"/>
              </w:rPr>
              <w:t>УДК. 338.1</w:t>
            </w:r>
          </w:p>
        </w:tc>
      </w:tr>
      <w:tr w:rsidR="008124F0" w:rsidRPr="008124F0" w:rsidTr="00B36FDB">
        <w:trPr>
          <w:jc w:val="center"/>
        </w:trPr>
        <w:tc>
          <w:tcPr>
            <w:tcW w:w="2229" w:type="pct"/>
          </w:tcPr>
          <w:p w:rsidR="008124F0" w:rsidRPr="008124F0" w:rsidRDefault="008124F0" w:rsidP="008124F0">
            <w:pPr>
              <w:widowControl w:val="0"/>
              <w:spacing w:after="0" w:line="240" w:lineRule="auto"/>
              <w:jc w:val="right"/>
              <w:rPr>
                <w:rFonts w:ascii="Times New Roman" w:eastAsia="Times New Roman" w:hAnsi="Times New Roman" w:cs="Times New Roman"/>
                <w:color w:val="000000" w:themeColor="text1"/>
                <w:sz w:val="28"/>
              </w:rPr>
            </w:pPr>
          </w:p>
        </w:tc>
        <w:tc>
          <w:tcPr>
            <w:tcW w:w="2706" w:type="pct"/>
            <w:tcMar>
              <w:top w:w="0" w:type="dxa"/>
              <w:left w:w="0" w:type="dxa"/>
              <w:bottom w:w="0" w:type="dxa"/>
              <w:right w:w="0" w:type="dxa"/>
            </w:tcMar>
          </w:tcPr>
          <w:p w:rsidR="008124F0" w:rsidRPr="008124F0" w:rsidRDefault="008124F0" w:rsidP="008124F0">
            <w:pPr>
              <w:spacing w:after="0" w:line="240" w:lineRule="auto"/>
              <w:contextualSpacing/>
              <w:rPr>
                <w:rFonts w:ascii="Times New Roman" w:hAnsi="Times New Roman" w:cs="Times New Roman"/>
                <w:color w:val="000000" w:themeColor="text1"/>
                <w:sz w:val="28"/>
                <w:szCs w:val="28"/>
              </w:rPr>
            </w:pPr>
            <w:bookmarkStart w:id="0" w:name="_Toc39512909"/>
            <w:r w:rsidRPr="008124F0">
              <w:rPr>
                <w:rFonts w:ascii="Times New Roman" w:eastAsiaTheme="majorEastAsia" w:hAnsi="Times New Roman" w:cs="Times New Roman"/>
                <w:b/>
                <w:bCs/>
                <w:iCs/>
                <w:color w:val="000000" w:themeColor="text1"/>
                <w:sz w:val="28"/>
              </w:rPr>
              <w:t>E.A. Шумаева,</w:t>
            </w:r>
            <w:bookmarkEnd w:id="0"/>
            <w:r w:rsidRPr="008124F0">
              <w:rPr>
                <w:rFonts w:ascii="Times New Roman" w:hAnsi="Times New Roman" w:cs="Times New Roman"/>
                <w:bCs/>
                <w:color w:val="000000" w:themeColor="text1"/>
                <w:sz w:val="28"/>
                <w:szCs w:val="28"/>
              </w:rPr>
              <w:t xml:space="preserve"> </w:t>
            </w:r>
            <w:r w:rsidRPr="008124F0">
              <w:rPr>
                <w:rFonts w:ascii="Times New Roman" w:hAnsi="Times New Roman" w:cs="Times New Roman"/>
                <w:i/>
                <w:color w:val="000000" w:themeColor="text1"/>
                <w:sz w:val="28"/>
                <w:szCs w:val="24"/>
              </w:rPr>
              <w:t>канд. наук гос. упр., доц.</w:t>
            </w:r>
          </w:p>
          <w:p w:rsidR="008124F0" w:rsidRPr="008124F0" w:rsidRDefault="008124F0" w:rsidP="008124F0">
            <w:pPr>
              <w:keepNext/>
              <w:spacing w:after="0" w:line="240" w:lineRule="auto"/>
              <w:jc w:val="both"/>
              <w:outlineLvl w:val="1"/>
              <w:rPr>
                <w:rFonts w:ascii="Times New Roman" w:hAnsi="Times New Roman" w:cs="Times New Roman"/>
                <w:b/>
                <w:bCs/>
                <w:iCs/>
                <w:color w:val="000000" w:themeColor="text1"/>
                <w:sz w:val="28"/>
                <w:szCs w:val="28"/>
              </w:rPr>
            </w:pPr>
            <w:bookmarkStart w:id="1" w:name="_Toc39512910"/>
            <w:r w:rsidRPr="008124F0">
              <w:rPr>
                <w:rFonts w:ascii="Times New Roman" w:hAnsi="Times New Roman" w:cs="Times New Roman"/>
                <w:b/>
                <w:bCs/>
                <w:iCs/>
                <w:color w:val="000000" w:themeColor="text1"/>
                <w:sz w:val="28"/>
                <w:szCs w:val="28"/>
              </w:rPr>
              <w:t>А.А. Подбуцкий</w:t>
            </w:r>
            <w:bookmarkEnd w:id="1"/>
            <w:r w:rsidRPr="008124F0">
              <w:rPr>
                <w:rFonts w:ascii="Times New Roman" w:hAnsi="Times New Roman" w:cs="Times New Roman"/>
                <w:b/>
                <w:bCs/>
                <w:iCs/>
                <w:color w:val="000000" w:themeColor="text1"/>
                <w:sz w:val="28"/>
                <w:szCs w:val="28"/>
              </w:rPr>
              <w:t xml:space="preserve"> </w:t>
            </w:r>
          </w:p>
          <w:p w:rsidR="008124F0" w:rsidRPr="008124F0" w:rsidRDefault="008124F0" w:rsidP="008124F0">
            <w:pPr>
              <w:spacing w:after="0" w:line="240" w:lineRule="auto"/>
              <w:contextualSpacing/>
              <w:rPr>
                <w:rFonts w:ascii="Times New Roman" w:hAnsi="Times New Roman" w:cs="Times New Roman"/>
                <w:i/>
                <w:iCs/>
                <w:color w:val="000000" w:themeColor="text1"/>
                <w:sz w:val="28"/>
                <w:szCs w:val="28"/>
              </w:rPr>
            </w:pPr>
            <w:r w:rsidRPr="008124F0">
              <w:rPr>
                <w:rFonts w:ascii="Times New Roman" w:hAnsi="Times New Roman" w:cs="Times New Roman"/>
                <w:i/>
                <w:iCs/>
                <w:color w:val="000000" w:themeColor="text1"/>
                <w:sz w:val="28"/>
                <w:szCs w:val="28"/>
              </w:rPr>
              <w:t xml:space="preserve">ГОУВПО «Донецкий национальный технический университет», </w:t>
            </w:r>
          </w:p>
          <w:p w:rsidR="008124F0" w:rsidRPr="008124F0" w:rsidRDefault="008124F0" w:rsidP="008124F0">
            <w:pPr>
              <w:spacing w:after="0" w:line="240" w:lineRule="auto"/>
              <w:contextualSpacing/>
              <w:rPr>
                <w:rFonts w:ascii="Times New Roman" w:hAnsi="Times New Roman" w:cs="Times New Roman"/>
                <w:b/>
                <w:bCs/>
                <w:i/>
                <w:iCs/>
                <w:color w:val="000000" w:themeColor="text1"/>
                <w:sz w:val="28"/>
                <w:szCs w:val="28"/>
              </w:rPr>
            </w:pPr>
            <w:r w:rsidRPr="008124F0">
              <w:rPr>
                <w:rFonts w:ascii="Times New Roman" w:hAnsi="Times New Roman" w:cs="Times New Roman"/>
                <w:i/>
                <w:iCs/>
                <w:color w:val="000000" w:themeColor="text1"/>
                <w:sz w:val="28"/>
                <w:szCs w:val="28"/>
              </w:rPr>
              <w:t>Донецк, Донецкая Народная Республика</w:t>
            </w:r>
            <w:r w:rsidRPr="008124F0">
              <w:rPr>
                <w:rFonts w:ascii="Times New Roman" w:hAnsi="Times New Roman" w:cs="Times New Roman"/>
                <w:color w:val="000000" w:themeColor="text1"/>
                <w:sz w:val="28"/>
                <w:szCs w:val="28"/>
              </w:rPr>
              <w:br/>
            </w:r>
            <w:r w:rsidRPr="008124F0">
              <w:rPr>
                <w:rFonts w:ascii="Times New Roman" w:hAnsi="Times New Roman" w:cs="Times New Roman"/>
                <w:b/>
                <w:bCs/>
                <w:i/>
                <w:iCs/>
                <w:color w:val="000000" w:themeColor="text1"/>
                <w:sz w:val="28"/>
                <w:szCs w:val="28"/>
                <w:lang w:val="en-US"/>
              </w:rPr>
              <w:t>E</w:t>
            </w:r>
            <w:r w:rsidRPr="008124F0">
              <w:rPr>
                <w:rFonts w:ascii="Times New Roman" w:hAnsi="Times New Roman" w:cs="Times New Roman"/>
                <w:b/>
                <w:bCs/>
                <w:i/>
                <w:iCs/>
                <w:color w:val="000000" w:themeColor="text1"/>
                <w:sz w:val="28"/>
                <w:szCs w:val="28"/>
              </w:rPr>
              <w:t>.</w:t>
            </w:r>
            <w:r w:rsidRPr="008124F0">
              <w:rPr>
                <w:rFonts w:ascii="Times New Roman" w:hAnsi="Times New Roman" w:cs="Times New Roman"/>
                <w:b/>
                <w:bCs/>
                <w:i/>
                <w:iCs/>
                <w:color w:val="000000" w:themeColor="text1"/>
                <w:sz w:val="28"/>
                <w:szCs w:val="28"/>
                <w:lang w:val="en-US"/>
              </w:rPr>
              <w:t>A</w:t>
            </w:r>
            <w:r w:rsidRPr="008124F0">
              <w:rPr>
                <w:rFonts w:ascii="Times New Roman" w:hAnsi="Times New Roman" w:cs="Times New Roman"/>
                <w:b/>
                <w:bCs/>
                <w:i/>
                <w:iCs/>
                <w:color w:val="000000" w:themeColor="text1"/>
                <w:sz w:val="28"/>
                <w:szCs w:val="28"/>
              </w:rPr>
              <w:t xml:space="preserve">. </w:t>
            </w:r>
            <w:r w:rsidRPr="008124F0">
              <w:rPr>
                <w:rFonts w:ascii="Times New Roman" w:hAnsi="Times New Roman" w:cs="Times New Roman"/>
                <w:b/>
                <w:bCs/>
                <w:i/>
                <w:iCs/>
                <w:color w:val="000000" w:themeColor="text1"/>
                <w:sz w:val="28"/>
                <w:szCs w:val="28"/>
                <w:lang w:val="en-US"/>
              </w:rPr>
              <w:t>Shumaieva</w:t>
            </w:r>
            <w:r w:rsidRPr="008124F0">
              <w:rPr>
                <w:rFonts w:ascii="Times New Roman" w:hAnsi="Times New Roman" w:cs="Times New Roman"/>
                <w:b/>
                <w:bCs/>
                <w:i/>
                <w:iCs/>
                <w:color w:val="000000" w:themeColor="text1"/>
                <w:sz w:val="28"/>
                <w:szCs w:val="28"/>
              </w:rPr>
              <w:t>,</w:t>
            </w:r>
          </w:p>
          <w:p w:rsidR="008124F0" w:rsidRPr="008124F0" w:rsidRDefault="008124F0" w:rsidP="008124F0">
            <w:pPr>
              <w:shd w:val="clear" w:color="auto" w:fill="FFFFFF"/>
              <w:spacing w:after="0" w:line="240" w:lineRule="auto"/>
              <w:rPr>
                <w:rFonts w:ascii="Times New Roman" w:hAnsi="Times New Roman" w:cs="Times New Roman"/>
                <w:color w:val="000000" w:themeColor="text1"/>
                <w:sz w:val="28"/>
                <w:szCs w:val="28"/>
                <w:lang w:val="en-US"/>
              </w:rPr>
            </w:pPr>
            <w:r w:rsidRPr="008124F0">
              <w:rPr>
                <w:rFonts w:ascii="Times New Roman" w:hAnsi="Times New Roman" w:cs="Times New Roman"/>
                <w:b/>
                <w:bCs/>
                <w:i/>
                <w:iCs/>
                <w:color w:val="000000" w:themeColor="text1"/>
                <w:sz w:val="28"/>
                <w:szCs w:val="28"/>
                <w:lang w:val="en-US"/>
              </w:rPr>
              <w:t>A.A. Podbutskyy</w:t>
            </w:r>
          </w:p>
          <w:p w:rsidR="008124F0" w:rsidRPr="008124F0" w:rsidRDefault="008124F0" w:rsidP="008124F0">
            <w:pPr>
              <w:shd w:val="clear" w:color="auto" w:fill="FFFFFF"/>
              <w:spacing w:after="0" w:line="240" w:lineRule="auto"/>
              <w:rPr>
                <w:rFonts w:ascii="Times New Roman" w:hAnsi="Times New Roman" w:cs="Times New Roman"/>
                <w:color w:val="000000" w:themeColor="text1"/>
                <w:sz w:val="28"/>
                <w:szCs w:val="28"/>
                <w:lang w:val="en-US"/>
              </w:rPr>
            </w:pPr>
            <w:r w:rsidRPr="008124F0">
              <w:rPr>
                <w:rFonts w:ascii="Times New Roman" w:hAnsi="Times New Roman" w:cs="Times New Roman"/>
                <w:i/>
                <w:iCs/>
                <w:color w:val="000000" w:themeColor="text1"/>
                <w:sz w:val="28"/>
                <w:szCs w:val="28"/>
                <w:lang w:val="en-US"/>
              </w:rPr>
              <w:t>Donetsk national technical university,</w:t>
            </w:r>
          </w:p>
          <w:p w:rsidR="008124F0" w:rsidRPr="008124F0" w:rsidRDefault="008124F0" w:rsidP="008124F0">
            <w:pPr>
              <w:shd w:val="clear" w:color="auto" w:fill="FFFFFF"/>
              <w:spacing w:after="0" w:line="240" w:lineRule="auto"/>
              <w:rPr>
                <w:rFonts w:ascii="Times New Roman" w:eastAsia="Times New Roman" w:hAnsi="Times New Roman" w:cs="Times New Roman"/>
                <w:color w:val="000000" w:themeColor="text1"/>
                <w:sz w:val="28"/>
                <w:lang w:val="en-US"/>
              </w:rPr>
            </w:pPr>
            <w:r w:rsidRPr="008124F0">
              <w:rPr>
                <w:rFonts w:ascii="Times New Roman" w:hAnsi="Times New Roman" w:cs="Times New Roman"/>
                <w:i/>
                <w:iCs/>
                <w:color w:val="000000" w:themeColor="text1"/>
                <w:sz w:val="28"/>
                <w:szCs w:val="28"/>
                <w:lang w:val="en-US"/>
              </w:rPr>
              <w:t>Donetsk, Donetsk People's Republic</w:t>
            </w:r>
          </w:p>
        </w:tc>
      </w:tr>
      <w:tr w:rsidR="008124F0" w:rsidRPr="008124F0" w:rsidTr="00B36FDB">
        <w:trPr>
          <w:jc w:val="center"/>
        </w:trPr>
        <w:tc>
          <w:tcPr>
            <w:tcW w:w="2229" w:type="pct"/>
          </w:tcPr>
          <w:p w:rsidR="008124F0" w:rsidRPr="008124F0" w:rsidRDefault="008124F0" w:rsidP="008124F0">
            <w:pPr>
              <w:widowControl w:val="0"/>
              <w:spacing w:after="0" w:line="240" w:lineRule="auto"/>
              <w:jc w:val="center"/>
              <w:outlineLvl w:val="0"/>
              <w:rPr>
                <w:rFonts w:ascii="Times New Roman" w:eastAsia="Times New Roman" w:hAnsi="Times New Roman" w:cs="Times New Roman"/>
                <w:caps/>
                <w:color w:val="000000" w:themeColor="text1"/>
                <w:sz w:val="28"/>
                <w:lang w:val="en-US"/>
              </w:rPr>
            </w:pPr>
          </w:p>
        </w:tc>
        <w:tc>
          <w:tcPr>
            <w:tcW w:w="2706" w:type="pct"/>
          </w:tcPr>
          <w:p w:rsidR="008124F0" w:rsidRPr="008124F0" w:rsidRDefault="008124F0" w:rsidP="008124F0">
            <w:pPr>
              <w:widowControl w:val="0"/>
              <w:spacing w:after="0" w:line="240" w:lineRule="auto"/>
              <w:rPr>
                <w:rFonts w:ascii="Times New Roman" w:eastAsia="Times New Roman" w:hAnsi="Times New Roman" w:cs="Times New Roman"/>
                <w:color w:val="000000" w:themeColor="text1"/>
                <w:sz w:val="28"/>
                <w:lang w:val="en-US"/>
              </w:rPr>
            </w:pPr>
          </w:p>
        </w:tc>
      </w:tr>
      <w:tr w:rsidR="008124F0" w:rsidRPr="008124F0" w:rsidTr="00B36FDB">
        <w:trPr>
          <w:jc w:val="center"/>
        </w:trPr>
        <w:tc>
          <w:tcPr>
            <w:tcW w:w="4935" w:type="pct"/>
            <w:gridSpan w:val="2"/>
          </w:tcPr>
          <w:p w:rsidR="008124F0" w:rsidRPr="008124F0" w:rsidRDefault="008124F0" w:rsidP="008124F0">
            <w:pPr>
              <w:widowControl w:val="0"/>
              <w:spacing w:after="0" w:line="240" w:lineRule="auto"/>
              <w:jc w:val="center"/>
              <w:outlineLvl w:val="0"/>
              <w:rPr>
                <w:rFonts w:ascii="Times New Roman Полужирный" w:eastAsia="Times New Roman" w:hAnsi="Times New Roman Полужирный" w:cs="Times New Roman"/>
                <w:bCs/>
                <w:kern w:val="32"/>
                <w:sz w:val="28"/>
                <w:szCs w:val="28"/>
                <w:bdr w:val="none" w:sz="0" w:space="0" w:color="auto" w:frame="1"/>
                <w:shd w:val="clear" w:color="auto" w:fill="FFFFFF"/>
                <w:lang w:eastAsia="ru-RU"/>
              </w:rPr>
            </w:pPr>
            <w:bookmarkStart w:id="2" w:name="_Toc39512911"/>
            <w:r w:rsidRPr="008124F0">
              <w:rPr>
                <w:rFonts w:ascii="Times New Roman Полужирный" w:hAnsi="Times New Roman Полужирный" w:cs="Times New Roman"/>
                <w:bCs/>
                <w:kern w:val="32"/>
                <w:sz w:val="28"/>
                <w:szCs w:val="28"/>
                <w:bdr w:val="none" w:sz="0" w:space="0" w:color="auto" w:frame="1"/>
                <w:shd w:val="clear" w:color="auto" w:fill="FFFFFF"/>
                <w:lang w:eastAsia="ru-RU"/>
              </w:rPr>
              <w:t>ИННОВАЦИОННОЕ РАЗВИТИЕ КАК ФАКТОР ПРОГРЕССА СОВРЕМЕННОЙ ЭКОНОМИКИ</w:t>
            </w:r>
            <w:bookmarkEnd w:id="2"/>
          </w:p>
        </w:tc>
      </w:tr>
      <w:tr w:rsidR="008124F0" w:rsidRPr="008124F0" w:rsidTr="00B36FDB">
        <w:trPr>
          <w:jc w:val="center"/>
        </w:trPr>
        <w:tc>
          <w:tcPr>
            <w:tcW w:w="4935" w:type="pct"/>
            <w:gridSpan w:val="2"/>
          </w:tcPr>
          <w:p w:rsidR="008124F0" w:rsidRPr="008124F0" w:rsidRDefault="008124F0" w:rsidP="008124F0">
            <w:pPr>
              <w:spacing w:after="0" w:line="240" w:lineRule="auto"/>
              <w:rPr>
                <w:rFonts w:ascii="Times New Roman" w:eastAsia="Times New Roman" w:hAnsi="Times New Roman" w:cs="Times New Roman"/>
                <w:color w:val="000000" w:themeColor="text1"/>
                <w:sz w:val="28"/>
              </w:rPr>
            </w:pPr>
          </w:p>
        </w:tc>
      </w:tr>
      <w:tr w:rsidR="008124F0" w:rsidRPr="008124F0" w:rsidTr="00B36FDB">
        <w:trPr>
          <w:jc w:val="center"/>
        </w:trPr>
        <w:tc>
          <w:tcPr>
            <w:tcW w:w="4935" w:type="pct"/>
            <w:gridSpan w:val="2"/>
          </w:tcPr>
          <w:p w:rsidR="008124F0" w:rsidRPr="008124F0" w:rsidRDefault="008124F0" w:rsidP="008124F0">
            <w:pPr>
              <w:spacing w:after="0" w:line="240" w:lineRule="auto"/>
              <w:contextualSpacing/>
              <w:jc w:val="center"/>
              <w:rPr>
                <w:rFonts w:ascii="Times New Roman" w:hAnsi="Times New Roman" w:cs="Times New Roman"/>
                <w:b/>
                <w:color w:val="000000" w:themeColor="text1"/>
                <w:sz w:val="28"/>
                <w:szCs w:val="28"/>
                <w:lang w:val="en-US"/>
              </w:rPr>
            </w:pPr>
            <w:r w:rsidRPr="008124F0">
              <w:rPr>
                <w:rFonts w:ascii="Times New Roman" w:hAnsi="Times New Roman" w:cs="Times New Roman"/>
                <w:b/>
                <w:color w:val="000000" w:themeColor="text1"/>
                <w:sz w:val="28"/>
                <w:szCs w:val="28"/>
                <w:lang w:val="en-US"/>
              </w:rPr>
              <w:t xml:space="preserve">INNOVATIVE DEVELOPMENT AS A FACTOR OF MODERN </w:t>
            </w:r>
          </w:p>
          <w:p w:rsidR="008124F0" w:rsidRPr="008124F0" w:rsidRDefault="008124F0" w:rsidP="008124F0">
            <w:pPr>
              <w:shd w:val="clear" w:color="auto" w:fill="FDFEFF"/>
              <w:tabs>
                <w:tab w:val="left" w:pos="8505"/>
              </w:tabs>
              <w:spacing w:after="0" w:line="240" w:lineRule="auto"/>
              <w:ind w:left="851"/>
              <w:jc w:val="center"/>
              <w:rPr>
                <w:rFonts w:ascii="Times New Roman" w:eastAsia="Times New Roman" w:hAnsi="Times New Roman" w:cs="Times New Roman"/>
                <w:b/>
                <w:color w:val="000000" w:themeColor="text1"/>
                <w:sz w:val="28"/>
              </w:rPr>
            </w:pPr>
            <w:r w:rsidRPr="008124F0">
              <w:rPr>
                <w:rFonts w:ascii="Times New Roman" w:hAnsi="Times New Roman" w:cs="Times New Roman"/>
                <w:b/>
                <w:color w:val="000000" w:themeColor="text1"/>
                <w:sz w:val="28"/>
                <w:szCs w:val="28"/>
                <w:lang w:val="en-US"/>
              </w:rPr>
              <w:t>ECONOMY</w:t>
            </w:r>
            <w:r w:rsidRPr="008124F0">
              <w:rPr>
                <w:rFonts w:ascii="Times New Roman" w:hAnsi="Times New Roman" w:cs="Times New Roman"/>
                <w:b/>
                <w:color w:val="000000" w:themeColor="text1"/>
                <w:sz w:val="28"/>
                <w:szCs w:val="28"/>
              </w:rPr>
              <w:t xml:space="preserve"> </w:t>
            </w:r>
            <w:r w:rsidRPr="008124F0">
              <w:rPr>
                <w:rFonts w:ascii="Times New Roman" w:hAnsi="Times New Roman" w:cs="Times New Roman"/>
                <w:b/>
                <w:color w:val="000000" w:themeColor="text1"/>
                <w:sz w:val="28"/>
                <w:szCs w:val="28"/>
                <w:lang w:val="en-US"/>
              </w:rPr>
              <w:t>PROGRESS</w:t>
            </w:r>
          </w:p>
        </w:tc>
      </w:tr>
    </w:tbl>
    <w:p w:rsidR="008124F0" w:rsidRPr="008124F0" w:rsidRDefault="008124F0" w:rsidP="008124F0">
      <w:pPr>
        <w:spacing w:after="0" w:line="240" w:lineRule="auto"/>
        <w:contextualSpacing/>
        <w:jc w:val="center"/>
        <w:rPr>
          <w:rFonts w:ascii="Times New Roman" w:hAnsi="Times New Roman" w:cs="Times New Roman"/>
          <w:color w:val="000000" w:themeColor="text1"/>
          <w:sz w:val="28"/>
          <w:szCs w:val="28"/>
        </w:rPr>
      </w:pPr>
    </w:p>
    <w:p w:rsidR="008124F0" w:rsidRPr="008124F0" w:rsidRDefault="008124F0" w:rsidP="008124F0">
      <w:pPr>
        <w:spacing w:after="0" w:line="240" w:lineRule="auto"/>
        <w:ind w:firstLine="709"/>
        <w:contextualSpacing/>
        <w:jc w:val="both"/>
        <w:rPr>
          <w:rFonts w:ascii="Times New Roman" w:hAnsi="Times New Roman" w:cs="Times New Roman"/>
          <w:i/>
          <w:color w:val="000000" w:themeColor="text1"/>
          <w:sz w:val="24"/>
          <w:szCs w:val="24"/>
        </w:rPr>
      </w:pPr>
      <w:r w:rsidRPr="008124F0">
        <w:rPr>
          <w:rFonts w:ascii="Times New Roman" w:hAnsi="Times New Roman" w:cs="Times New Roman"/>
          <w:i/>
          <w:color w:val="000000" w:themeColor="text1"/>
          <w:sz w:val="24"/>
          <w:szCs w:val="24"/>
        </w:rPr>
        <w:t>Аннотация. В данной статье проанализирована взаимосвязь затрат на НИОКР и ВВП, а так же глобального индекса инноваций и индекса процветания.</w:t>
      </w:r>
    </w:p>
    <w:p w:rsidR="008124F0" w:rsidRPr="008124F0" w:rsidRDefault="008124F0" w:rsidP="008124F0">
      <w:pPr>
        <w:spacing w:after="0" w:line="240" w:lineRule="auto"/>
        <w:ind w:firstLine="709"/>
        <w:contextualSpacing/>
        <w:jc w:val="both"/>
        <w:rPr>
          <w:rFonts w:ascii="Times New Roman" w:hAnsi="Times New Roman" w:cs="Times New Roman"/>
          <w:i/>
          <w:color w:val="000000" w:themeColor="text1"/>
          <w:sz w:val="24"/>
          <w:szCs w:val="24"/>
        </w:rPr>
      </w:pPr>
      <w:r w:rsidRPr="008124F0">
        <w:rPr>
          <w:rFonts w:ascii="Times New Roman" w:hAnsi="Times New Roman" w:cs="Times New Roman"/>
          <w:i/>
          <w:color w:val="000000" w:themeColor="text1"/>
          <w:sz w:val="24"/>
          <w:szCs w:val="24"/>
        </w:rPr>
        <w:t xml:space="preserve">Ключевые слова: инновационное развитие, НИОКР, ВВП, глобальный индекс инноваций, индекс процветания. </w:t>
      </w:r>
    </w:p>
    <w:p w:rsidR="008124F0" w:rsidRPr="008124F0" w:rsidRDefault="008124F0" w:rsidP="008124F0">
      <w:pPr>
        <w:tabs>
          <w:tab w:val="left" w:pos="2100"/>
        </w:tabs>
        <w:spacing w:after="0" w:line="240" w:lineRule="auto"/>
        <w:ind w:firstLine="709"/>
        <w:contextualSpacing/>
        <w:jc w:val="both"/>
        <w:rPr>
          <w:rFonts w:ascii="Times New Roman" w:hAnsi="Times New Roman" w:cs="Times New Roman"/>
          <w:i/>
          <w:color w:val="000000" w:themeColor="text1"/>
          <w:sz w:val="24"/>
          <w:szCs w:val="24"/>
        </w:rPr>
      </w:pPr>
    </w:p>
    <w:p w:rsidR="008124F0" w:rsidRPr="008124F0" w:rsidRDefault="008124F0" w:rsidP="008124F0">
      <w:pPr>
        <w:spacing w:after="0" w:line="240" w:lineRule="auto"/>
        <w:ind w:firstLine="709"/>
        <w:contextualSpacing/>
        <w:jc w:val="both"/>
        <w:rPr>
          <w:rFonts w:ascii="Times New Roman" w:hAnsi="Times New Roman" w:cs="Times New Roman"/>
          <w:i/>
          <w:color w:val="000000" w:themeColor="text1"/>
          <w:sz w:val="24"/>
          <w:szCs w:val="24"/>
          <w:lang w:val="en-US"/>
        </w:rPr>
      </w:pPr>
      <w:r w:rsidRPr="008124F0">
        <w:rPr>
          <w:rFonts w:ascii="Times New Roman" w:hAnsi="Times New Roman" w:cs="Times New Roman"/>
          <w:i/>
          <w:color w:val="000000" w:themeColor="text1"/>
          <w:sz w:val="24"/>
          <w:szCs w:val="24"/>
          <w:lang w:val="en-US"/>
        </w:rPr>
        <w:t>Abstract. This article analyzes the relationship between research expenditures and GDP, as well as the global innovation index and the prosperity index.</w:t>
      </w:r>
    </w:p>
    <w:p w:rsidR="008124F0" w:rsidRPr="008124F0" w:rsidRDefault="008124F0" w:rsidP="008124F0">
      <w:pPr>
        <w:spacing w:after="0" w:line="240" w:lineRule="auto"/>
        <w:ind w:firstLine="709"/>
        <w:contextualSpacing/>
        <w:jc w:val="both"/>
        <w:rPr>
          <w:rFonts w:ascii="Times New Roman" w:hAnsi="Times New Roman" w:cs="Times New Roman"/>
          <w:i/>
          <w:color w:val="000000" w:themeColor="text1"/>
          <w:sz w:val="24"/>
          <w:szCs w:val="24"/>
          <w:lang w:val="en-US"/>
        </w:rPr>
      </w:pPr>
      <w:r w:rsidRPr="008124F0">
        <w:rPr>
          <w:rFonts w:ascii="Times New Roman" w:hAnsi="Times New Roman" w:cs="Times New Roman"/>
          <w:i/>
          <w:color w:val="000000" w:themeColor="text1"/>
          <w:sz w:val="24"/>
          <w:szCs w:val="24"/>
          <w:lang w:val="en-US"/>
        </w:rPr>
        <w:t>Keywords: innovative development, research activity, GDP, global innovation index, prosperity index.</w:t>
      </w:r>
    </w:p>
    <w:p w:rsidR="008124F0" w:rsidRPr="008124F0" w:rsidRDefault="008124F0" w:rsidP="008124F0">
      <w:pPr>
        <w:spacing w:after="0" w:line="240" w:lineRule="auto"/>
        <w:ind w:firstLine="709"/>
        <w:contextualSpacing/>
        <w:jc w:val="center"/>
        <w:rPr>
          <w:rFonts w:ascii="Times New Roman" w:hAnsi="Times New Roman" w:cs="Times New Roman"/>
          <w:color w:val="000000" w:themeColor="text1"/>
          <w:sz w:val="24"/>
          <w:szCs w:val="24"/>
          <w:lang w:val="en-US"/>
        </w:rPr>
      </w:pPr>
    </w:p>
    <w:p w:rsidR="008124F0" w:rsidRPr="008124F0" w:rsidRDefault="008124F0" w:rsidP="008124F0">
      <w:pPr>
        <w:spacing w:after="0" w:line="240" w:lineRule="auto"/>
        <w:ind w:firstLine="709"/>
        <w:contextualSpacing/>
        <w:jc w:val="both"/>
        <w:rPr>
          <w:rFonts w:ascii="Times New Roman" w:hAnsi="Times New Roman" w:cs="Times New Roman"/>
          <w:color w:val="000000" w:themeColor="text1"/>
          <w:sz w:val="28"/>
          <w:szCs w:val="28"/>
        </w:rPr>
      </w:pPr>
      <w:r w:rsidRPr="008124F0">
        <w:rPr>
          <w:rFonts w:ascii="Times New Roman" w:hAnsi="Times New Roman" w:cs="Times New Roman"/>
          <w:b/>
          <w:color w:val="000000" w:themeColor="text1"/>
          <w:sz w:val="28"/>
          <w:szCs w:val="28"/>
        </w:rPr>
        <w:t>Постановка проблемы.</w:t>
      </w:r>
      <w:r w:rsidRPr="008124F0">
        <w:rPr>
          <w:rFonts w:ascii="Times New Roman" w:hAnsi="Times New Roman" w:cs="Times New Roman"/>
          <w:color w:val="000000" w:themeColor="text1"/>
          <w:sz w:val="28"/>
          <w:szCs w:val="28"/>
        </w:rPr>
        <w:t xml:space="preserve"> В настоящее время прогресс общества связан с развитием экономики. Развитая и мощная экономика является несомненным базисом для приобретения мирового господства на мировой арене. Одним из перспективных направлений, позволяющих достичь этого, является инновационное развитие экономики. При верно выбранной стратегии инновационного развития, показатели экономики страны будут иметь тенденцию к росту, что будет проявляться не только в экономической сфере, но и в социальной. Кроме того, это будет способствовать укреплению позиций национальной экономики, повышению ее конкурентоспособности, а также росту научного потенциала страны. Поэтому вопрос, связанный с прогрессом экономики, путем постоянного инновационного развития, является актуальным на сегодняшний день. </w:t>
      </w:r>
    </w:p>
    <w:p w:rsidR="008124F0" w:rsidRPr="008124F0" w:rsidRDefault="008124F0" w:rsidP="008124F0">
      <w:pPr>
        <w:spacing w:after="0" w:line="240" w:lineRule="auto"/>
        <w:ind w:firstLine="709"/>
        <w:contextualSpacing/>
        <w:jc w:val="both"/>
        <w:rPr>
          <w:rFonts w:ascii="Times New Roman" w:hAnsi="Times New Roman" w:cs="Times New Roman"/>
          <w:color w:val="000000" w:themeColor="text1"/>
          <w:sz w:val="28"/>
          <w:szCs w:val="28"/>
        </w:rPr>
      </w:pPr>
      <w:r w:rsidRPr="008124F0">
        <w:rPr>
          <w:rFonts w:ascii="Times New Roman" w:hAnsi="Times New Roman" w:cs="Times New Roman"/>
          <w:b/>
          <w:color w:val="000000" w:themeColor="text1"/>
          <w:sz w:val="28"/>
          <w:szCs w:val="28"/>
        </w:rPr>
        <w:t>Анализ предыдущих исследований и публикаций.</w:t>
      </w:r>
      <w:r w:rsidRPr="008124F0">
        <w:rPr>
          <w:rFonts w:ascii="Times New Roman" w:hAnsi="Times New Roman" w:cs="Times New Roman"/>
          <w:color w:val="000000" w:themeColor="text1"/>
          <w:sz w:val="28"/>
          <w:szCs w:val="28"/>
        </w:rPr>
        <w:t xml:space="preserve"> Изучением данной проблемы занимались многие ученые, результаты исследований которых отображены в достаточном количестве статей, монографий и др. источниках. Данный вопрос глубоко рассмотрен в работах таких ученых как: Челнокова О.Ю., Измайлов А.М., Ашмарина А.С., Филатова А.В., Гороховицкая Т.В., Назарова О.К., Асмолова М.С, Дедов С.В. и др. В работах этих авторов рассмотрены проблемы связанные с необходимостью развития </w:t>
      </w:r>
      <w:r w:rsidRPr="008124F0">
        <w:rPr>
          <w:rFonts w:ascii="Times New Roman" w:hAnsi="Times New Roman" w:cs="Times New Roman"/>
          <w:color w:val="000000" w:themeColor="text1"/>
          <w:sz w:val="28"/>
          <w:szCs w:val="28"/>
        </w:rPr>
        <w:lastRenderedPageBreak/>
        <w:t>технической и технологической базы, как основы экономического роста. Однако не была рассмотрена зависимость ВВП и уровня процветания от затрат на инновационную деятельность.</w:t>
      </w:r>
    </w:p>
    <w:p w:rsidR="008124F0" w:rsidRPr="008124F0" w:rsidRDefault="008124F0" w:rsidP="008124F0">
      <w:pPr>
        <w:spacing w:after="0" w:line="240" w:lineRule="auto"/>
        <w:ind w:firstLine="709"/>
        <w:contextualSpacing/>
        <w:jc w:val="both"/>
        <w:rPr>
          <w:rFonts w:ascii="Times New Roman" w:hAnsi="Times New Roman" w:cs="Times New Roman"/>
          <w:color w:val="000000" w:themeColor="text1"/>
          <w:sz w:val="28"/>
          <w:szCs w:val="28"/>
        </w:rPr>
      </w:pPr>
      <w:r w:rsidRPr="008124F0">
        <w:rPr>
          <w:rFonts w:ascii="Times New Roman" w:hAnsi="Times New Roman" w:cs="Times New Roman"/>
          <w:b/>
          <w:color w:val="000000" w:themeColor="text1"/>
          <w:sz w:val="28"/>
          <w:szCs w:val="28"/>
        </w:rPr>
        <w:t>Цель статьи</w:t>
      </w:r>
      <w:r w:rsidRPr="008124F0">
        <w:rPr>
          <w:rFonts w:ascii="Times New Roman" w:hAnsi="Times New Roman" w:cs="Times New Roman"/>
          <w:color w:val="000000" w:themeColor="text1"/>
          <w:sz w:val="28"/>
          <w:szCs w:val="28"/>
        </w:rPr>
        <w:t>. Целью является</w:t>
      </w:r>
      <w:r w:rsidRPr="008124F0">
        <w:rPr>
          <w:rFonts w:ascii="Times New Roman" w:hAnsi="Times New Roman" w:cs="Times New Roman"/>
          <w:b/>
          <w:color w:val="000000" w:themeColor="text1"/>
          <w:sz w:val="28"/>
          <w:szCs w:val="28"/>
        </w:rPr>
        <w:t xml:space="preserve"> </w:t>
      </w:r>
      <w:r w:rsidRPr="008124F0">
        <w:rPr>
          <w:rFonts w:ascii="Times New Roman" w:hAnsi="Times New Roman" w:cs="Times New Roman"/>
          <w:color w:val="000000" w:themeColor="text1"/>
          <w:sz w:val="28"/>
          <w:szCs w:val="28"/>
        </w:rPr>
        <w:t xml:space="preserve">определение степени влияния инновационного развития в современной экономике. </w:t>
      </w:r>
    </w:p>
    <w:p w:rsidR="008124F0" w:rsidRPr="008124F0" w:rsidRDefault="008124F0" w:rsidP="008124F0">
      <w:pPr>
        <w:spacing w:after="0" w:line="240" w:lineRule="auto"/>
        <w:ind w:firstLine="709"/>
        <w:contextualSpacing/>
        <w:jc w:val="both"/>
        <w:rPr>
          <w:rFonts w:ascii="Times New Roman" w:hAnsi="Times New Roman" w:cs="Times New Roman"/>
          <w:color w:val="000000" w:themeColor="text1"/>
          <w:sz w:val="28"/>
          <w:szCs w:val="28"/>
        </w:rPr>
      </w:pPr>
      <w:r w:rsidRPr="008124F0">
        <w:rPr>
          <w:rFonts w:ascii="Times New Roman" w:hAnsi="Times New Roman" w:cs="Times New Roman"/>
          <w:b/>
          <w:color w:val="000000" w:themeColor="text1"/>
          <w:sz w:val="28"/>
          <w:szCs w:val="28"/>
        </w:rPr>
        <w:t>Основные результаты исследования.</w:t>
      </w:r>
      <w:r w:rsidRPr="008124F0">
        <w:rPr>
          <w:rFonts w:ascii="Times New Roman" w:hAnsi="Times New Roman" w:cs="Times New Roman"/>
          <w:color w:val="000000" w:themeColor="text1"/>
          <w:sz w:val="28"/>
          <w:szCs w:val="28"/>
        </w:rPr>
        <w:t xml:space="preserve"> Современная экономика и общество на сегодняшний день активно меняется в результате спектра применения информации. Особенно ярко данное проявляется в сфере создания новых знаний, принципиально нового продукта или улучшения уже имеющегося. Тенденция такого развития проявляется как на микро- так и на макроуровне, что в свою очередь отражается на всей мировой экономике в целом. Поэтому большинство стран мира стремятся применять политику инновационного развития. Успешность ее осуществления зависит от многих факторов: имеющиеся финансовые ресурсы, развитость научно-исследовательской сферы, человеческий капитал и его квалифицированность, и др. Однако, ее успешное применение окажет значительное влияние на развитие всего общества в целом.</w:t>
      </w:r>
    </w:p>
    <w:p w:rsidR="008124F0" w:rsidRPr="008124F0" w:rsidRDefault="008124F0" w:rsidP="008124F0">
      <w:pPr>
        <w:spacing w:after="0" w:line="240" w:lineRule="auto"/>
        <w:ind w:firstLine="709"/>
        <w:contextualSpacing/>
        <w:jc w:val="both"/>
        <w:rPr>
          <w:rFonts w:ascii="Times New Roman" w:hAnsi="Times New Roman" w:cs="Times New Roman"/>
          <w:color w:val="000000" w:themeColor="text1"/>
          <w:sz w:val="28"/>
          <w:szCs w:val="28"/>
        </w:rPr>
      </w:pPr>
      <w:r w:rsidRPr="008124F0">
        <w:rPr>
          <w:rFonts w:ascii="Times New Roman" w:hAnsi="Times New Roman" w:cs="Times New Roman"/>
          <w:color w:val="000000" w:themeColor="text1"/>
          <w:sz w:val="28"/>
          <w:szCs w:val="28"/>
        </w:rPr>
        <w:t>Стоит отметить, что политика инновационного развития является базисом для прогресса современной экономики. Развитие новых технологий, способствует повышению уровня конкурентоспособности отечественных производителей, что в свою очередь отражается на укреплении позиций национальной экономики и росте ВВП (рис. 1).</w:t>
      </w:r>
    </w:p>
    <w:p w:rsidR="008124F0" w:rsidRPr="008124F0" w:rsidRDefault="008124F0" w:rsidP="008124F0">
      <w:pPr>
        <w:spacing w:after="0" w:line="240" w:lineRule="auto"/>
        <w:ind w:firstLine="709"/>
        <w:contextualSpacing/>
        <w:jc w:val="both"/>
        <w:rPr>
          <w:rFonts w:ascii="Times New Roman" w:hAnsi="Times New Roman" w:cs="Times New Roman"/>
          <w:color w:val="000000" w:themeColor="text1"/>
          <w:sz w:val="28"/>
          <w:szCs w:val="28"/>
        </w:rPr>
      </w:pPr>
      <w:r w:rsidRPr="008124F0">
        <w:rPr>
          <w:rFonts w:ascii="Times New Roman" w:hAnsi="Times New Roman" w:cs="Times New Roman"/>
          <w:color w:val="000000" w:themeColor="text1"/>
          <w:sz w:val="28"/>
          <w:szCs w:val="28"/>
        </w:rPr>
        <w:t xml:space="preserve">Анализ динамики ВВП и затрат на НИОКР, показал определенную зависимость между этими показателями, то есть при увеличении уровня финансовых вложений в инновационную деятельность, размер валового внутреннего продукта имеет тенденцию к росту. Так затраты на НИОКР в США имеют стабильную структуру и не значительный рост с каждым годом на 0,01%, что находит свое отражение в повышении значения показателя ВВП страны в среднем на 4% в год. В Китае процент затрат на НИОКР в среднем составляет 0,6%, так в 2019 г. он вырос на 2,26% относительно 2014 г. Вместе с тем, наблюдается укрепление национальной экономики – рост показателей ВВП в среднем на 7% в год. Япония, в свою очередь, является лидером по затратам на инновационную деятельность, в среднем 3,3%, что отражается в увеличении показателя ВВП в 2019 г. на 6,72% относительно 2014 г. </w:t>
      </w:r>
    </w:p>
    <w:p w:rsidR="008124F0" w:rsidRPr="008124F0" w:rsidRDefault="008124F0" w:rsidP="008124F0">
      <w:pPr>
        <w:spacing w:after="0" w:line="240" w:lineRule="auto"/>
        <w:ind w:firstLine="709"/>
        <w:contextualSpacing/>
        <w:jc w:val="both"/>
        <w:rPr>
          <w:rFonts w:ascii="Times New Roman" w:hAnsi="Times New Roman" w:cs="Times New Roman"/>
          <w:color w:val="000000" w:themeColor="text1"/>
          <w:sz w:val="28"/>
          <w:szCs w:val="28"/>
        </w:rPr>
      </w:pPr>
    </w:p>
    <w:p w:rsidR="008124F0" w:rsidRPr="008124F0" w:rsidRDefault="008124F0" w:rsidP="008124F0">
      <w:pPr>
        <w:spacing w:after="0" w:line="240" w:lineRule="auto"/>
        <w:contextualSpacing/>
        <w:jc w:val="both"/>
        <w:rPr>
          <w:rFonts w:ascii="Times New Roman" w:hAnsi="Times New Roman" w:cs="Times New Roman"/>
          <w:color w:val="000000" w:themeColor="text1"/>
          <w:sz w:val="28"/>
          <w:szCs w:val="28"/>
        </w:rPr>
      </w:pPr>
      <w:r w:rsidRPr="008124F0">
        <w:rPr>
          <w:rFonts w:ascii="Times New Roman" w:hAnsi="Times New Roman" w:cs="Times New Roman"/>
          <w:noProof/>
          <w:color w:val="000000" w:themeColor="text1"/>
          <w:lang w:eastAsia="ru-RU"/>
        </w:rPr>
        <w:lastRenderedPageBreak/>
        <w:drawing>
          <wp:inline distT="0" distB="0" distL="0" distR="0" wp14:anchorId="34E51375" wp14:editId="53283B8E">
            <wp:extent cx="6115050" cy="38576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24F0" w:rsidRPr="008124F0" w:rsidRDefault="008124F0" w:rsidP="008124F0">
      <w:pPr>
        <w:spacing w:after="0" w:line="240" w:lineRule="auto"/>
        <w:contextualSpacing/>
        <w:jc w:val="center"/>
        <w:rPr>
          <w:rFonts w:ascii="Times New Roman" w:hAnsi="Times New Roman" w:cs="Times New Roman"/>
          <w:color w:val="000000" w:themeColor="text1"/>
          <w:sz w:val="28"/>
          <w:szCs w:val="28"/>
        </w:rPr>
      </w:pPr>
      <w:r w:rsidRPr="008124F0">
        <w:rPr>
          <w:rFonts w:ascii="Times New Roman" w:hAnsi="Times New Roman" w:cs="Times New Roman"/>
          <w:color w:val="000000" w:themeColor="text1"/>
          <w:sz w:val="28"/>
          <w:szCs w:val="28"/>
        </w:rPr>
        <w:t xml:space="preserve">Рис.1. Динамика ВВП США, Китая, Японии, РФ и затраты на НИОКР США, Китая, Японии, РФ, 2014-2019 гг., млрд. долл. США, </w:t>
      </w:r>
    </w:p>
    <w:p w:rsidR="008124F0" w:rsidRPr="008124F0" w:rsidRDefault="008124F0" w:rsidP="008124F0">
      <w:pPr>
        <w:spacing w:after="0" w:line="240" w:lineRule="auto"/>
        <w:ind w:firstLine="709"/>
        <w:contextualSpacing/>
        <w:jc w:val="center"/>
        <w:rPr>
          <w:rFonts w:ascii="Times New Roman" w:hAnsi="Times New Roman" w:cs="Times New Roman"/>
          <w:color w:val="000000" w:themeColor="text1"/>
          <w:sz w:val="28"/>
          <w:szCs w:val="28"/>
        </w:rPr>
      </w:pPr>
      <w:r w:rsidRPr="008124F0">
        <w:rPr>
          <w:rFonts w:ascii="Times New Roman" w:hAnsi="Times New Roman" w:cs="Times New Roman"/>
          <w:color w:val="000000" w:themeColor="text1"/>
          <w:sz w:val="28"/>
          <w:szCs w:val="28"/>
        </w:rPr>
        <w:t>% ВВП [2,3]</w:t>
      </w:r>
    </w:p>
    <w:p w:rsidR="008124F0" w:rsidRPr="008124F0" w:rsidRDefault="008124F0" w:rsidP="008124F0">
      <w:pPr>
        <w:spacing w:after="0" w:line="240" w:lineRule="auto"/>
        <w:ind w:firstLine="709"/>
        <w:contextualSpacing/>
        <w:jc w:val="both"/>
        <w:rPr>
          <w:rFonts w:ascii="Times New Roman" w:hAnsi="Times New Roman" w:cs="Times New Roman"/>
          <w:color w:val="000000" w:themeColor="text1"/>
          <w:sz w:val="28"/>
          <w:szCs w:val="28"/>
        </w:rPr>
      </w:pPr>
    </w:p>
    <w:p w:rsidR="008124F0" w:rsidRPr="008124F0" w:rsidRDefault="008124F0" w:rsidP="008124F0">
      <w:pPr>
        <w:spacing w:after="0" w:line="240" w:lineRule="auto"/>
        <w:ind w:firstLine="709"/>
        <w:contextualSpacing/>
        <w:jc w:val="both"/>
        <w:rPr>
          <w:rFonts w:ascii="Times New Roman" w:hAnsi="Times New Roman" w:cs="Times New Roman"/>
          <w:color w:val="000000" w:themeColor="text1"/>
          <w:sz w:val="28"/>
          <w:szCs w:val="28"/>
        </w:rPr>
      </w:pPr>
      <w:r w:rsidRPr="008124F0">
        <w:rPr>
          <w:rFonts w:ascii="Times New Roman" w:hAnsi="Times New Roman" w:cs="Times New Roman"/>
          <w:color w:val="000000" w:themeColor="text1"/>
          <w:sz w:val="28"/>
          <w:szCs w:val="28"/>
        </w:rPr>
        <w:t xml:space="preserve">Стоит отметить, что показатели затрат на НИОКР в РФ имеют достаточно низкие значения относительно мирового опыта, так в среднем выделяется 1,13%, что отражается в слабом росте ВВП страны. </w:t>
      </w:r>
    </w:p>
    <w:p w:rsidR="008124F0" w:rsidRPr="008124F0" w:rsidRDefault="008124F0" w:rsidP="008124F0">
      <w:pPr>
        <w:spacing w:after="0" w:line="240" w:lineRule="auto"/>
        <w:ind w:firstLine="709"/>
        <w:contextualSpacing/>
        <w:jc w:val="both"/>
        <w:rPr>
          <w:rFonts w:ascii="Times New Roman" w:hAnsi="Times New Roman" w:cs="Times New Roman"/>
          <w:color w:val="000000" w:themeColor="text1"/>
          <w:sz w:val="28"/>
          <w:szCs w:val="28"/>
        </w:rPr>
      </w:pPr>
      <w:r w:rsidRPr="008124F0">
        <w:rPr>
          <w:rFonts w:ascii="Times New Roman" w:hAnsi="Times New Roman" w:cs="Times New Roman"/>
          <w:color w:val="000000" w:themeColor="text1"/>
          <w:sz w:val="28"/>
          <w:szCs w:val="28"/>
        </w:rPr>
        <w:t>Таким образом, мировой опыт показывает необходимость активного инновационного развития для укрепления позиций национальной экономики и потенциала страны в целом.</w:t>
      </w:r>
    </w:p>
    <w:p w:rsidR="008124F0" w:rsidRPr="008124F0" w:rsidRDefault="008124F0" w:rsidP="008124F0">
      <w:pPr>
        <w:spacing w:after="0" w:line="240" w:lineRule="auto"/>
        <w:ind w:firstLine="709"/>
        <w:contextualSpacing/>
        <w:jc w:val="both"/>
        <w:rPr>
          <w:rFonts w:ascii="Times New Roman" w:hAnsi="Times New Roman" w:cs="Times New Roman"/>
          <w:color w:val="000000" w:themeColor="text1"/>
          <w:sz w:val="28"/>
          <w:szCs w:val="28"/>
        </w:rPr>
      </w:pPr>
      <w:r w:rsidRPr="008124F0">
        <w:rPr>
          <w:rFonts w:ascii="Times New Roman" w:hAnsi="Times New Roman" w:cs="Times New Roman"/>
          <w:color w:val="000000" w:themeColor="text1"/>
          <w:sz w:val="28"/>
          <w:szCs w:val="28"/>
        </w:rPr>
        <w:t>Стоит отметить, что инновационное развитие оказывает значительное влияние и на факторы онтогенеза общества, что отражается в высоких показателях индекса процветания (ИП). Этот показатель измеряет достижение стран мира с точки зрения их благополучия, кроме того он является комбинированным – составляется на основе множества различных факторов, объединенных в девяти категориях, способных отражать различные аспекты жизни общества и параметры его благосостояния:</w:t>
      </w:r>
    </w:p>
    <w:p w:rsidR="008124F0" w:rsidRPr="008124F0" w:rsidRDefault="008124F0" w:rsidP="008124F0">
      <w:pPr>
        <w:numPr>
          <w:ilvl w:val="0"/>
          <w:numId w:val="2"/>
        </w:numPr>
        <w:tabs>
          <w:tab w:val="left" w:pos="993"/>
        </w:tabs>
        <w:spacing w:after="0" w:line="240" w:lineRule="auto"/>
        <w:ind w:firstLine="709"/>
        <w:contextualSpacing/>
        <w:jc w:val="both"/>
        <w:rPr>
          <w:rFonts w:ascii="Times New Roman" w:hAnsi="Times New Roman" w:cs="Times New Roman"/>
          <w:color w:val="000000" w:themeColor="text1"/>
          <w:sz w:val="28"/>
          <w:szCs w:val="28"/>
        </w:rPr>
      </w:pPr>
      <w:r w:rsidRPr="008124F0">
        <w:rPr>
          <w:rFonts w:ascii="Times New Roman" w:hAnsi="Times New Roman" w:cs="Times New Roman"/>
          <w:color w:val="000000" w:themeColor="text1"/>
          <w:sz w:val="28"/>
          <w:szCs w:val="28"/>
        </w:rPr>
        <w:t>экономика</w:t>
      </w:r>
      <w:r w:rsidRPr="008124F0">
        <w:rPr>
          <w:rFonts w:ascii="Times New Roman" w:hAnsi="Times New Roman" w:cs="Times New Roman"/>
          <w:color w:val="000000" w:themeColor="text1"/>
          <w:sz w:val="28"/>
          <w:szCs w:val="28"/>
          <w:lang w:val="en-US"/>
        </w:rPr>
        <w:t>;</w:t>
      </w:r>
    </w:p>
    <w:p w:rsidR="008124F0" w:rsidRPr="008124F0" w:rsidRDefault="008124F0" w:rsidP="008124F0">
      <w:pPr>
        <w:numPr>
          <w:ilvl w:val="0"/>
          <w:numId w:val="2"/>
        </w:numPr>
        <w:tabs>
          <w:tab w:val="left" w:pos="993"/>
        </w:tabs>
        <w:spacing w:after="0" w:line="240" w:lineRule="auto"/>
        <w:ind w:firstLine="709"/>
        <w:contextualSpacing/>
        <w:jc w:val="both"/>
        <w:rPr>
          <w:rFonts w:ascii="Times New Roman" w:hAnsi="Times New Roman" w:cs="Times New Roman"/>
          <w:color w:val="000000" w:themeColor="text1"/>
          <w:sz w:val="28"/>
          <w:szCs w:val="28"/>
        </w:rPr>
      </w:pPr>
      <w:r w:rsidRPr="008124F0">
        <w:rPr>
          <w:rFonts w:ascii="Times New Roman" w:hAnsi="Times New Roman" w:cs="Times New Roman"/>
          <w:color w:val="000000" w:themeColor="text1"/>
          <w:sz w:val="28"/>
          <w:szCs w:val="28"/>
        </w:rPr>
        <w:t>предпринимательство</w:t>
      </w:r>
      <w:r w:rsidRPr="008124F0">
        <w:rPr>
          <w:rFonts w:ascii="Times New Roman" w:hAnsi="Times New Roman" w:cs="Times New Roman"/>
          <w:color w:val="000000" w:themeColor="text1"/>
          <w:sz w:val="28"/>
          <w:szCs w:val="28"/>
          <w:lang w:val="en-US"/>
        </w:rPr>
        <w:t>;</w:t>
      </w:r>
    </w:p>
    <w:p w:rsidR="008124F0" w:rsidRPr="008124F0" w:rsidRDefault="008124F0" w:rsidP="008124F0">
      <w:pPr>
        <w:numPr>
          <w:ilvl w:val="0"/>
          <w:numId w:val="2"/>
        </w:numPr>
        <w:tabs>
          <w:tab w:val="left" w:pos="993"/>
        </w:tabs>
        <w:spacing w:after="0" w:line="240" w:lineRule="auto"/>
        <w:ind w:firstLine="709"/>
        <w:contextualSpacing/>
        <w:jc w:val="both"/>
        <w:rPr>
          <w:rFonts w:ascii="Times New Roman" w:hAnsi="Times New Roman" w:cs="Times New Roman"/>
          <w:color w:val="000000" w:themeColor="text1"/>
          <w:sz w:val="28"/>
          <w:szCs w:val="28"/>
        </w:rPr>
      </w:pPr>
      <w:r w:rsidRPr="008124F0">
        <w:rPr>
          <w:rFonts w:ascii="Times New Roman" w:hAnsi="Times New Roman" w:cs="Times New Roman"/>
          <w:color w:val="000000" w:themeColor="text1"/>
          <w:sz w:val="28"/>
          <w:szCs w:val="28"/>
        </w:rPr>
        <w:t>управление</w:t>
      </w:r>
      <w:r w:rsidRPr="008124F0">
        <w:rPr>
          <w:rFonts w:ascii="Times New Roman" w:hAnsi="Times New Roman" w:cs="Times New Roman"/>
          <w:color w:val="000000" w:themeColor="text1"/>
          <w:sz w:val="28"/>
          <w:szCs w:val="28"/>
          <w:lang w:val="en-US"/>
        </w:rPr>
        <w:t>;</w:t>
      </w:r>
    </w:p>
    <w:p w:rsidR="008124F0" w:rsidRPr="008124F0" w:rsidRDefault="008124F0" w:rsidP="008124F0">
      <w:pPr>
        <w:numPr>
          <w:ilvl w:val="0"/>
          <w:numId w:val="2"/>
        </w:numPr>
        <w:tabs>
          <w:tab w:val="left" w:pos="993"/>
        </w:tabs>
        <w:spacing w:after="0" w:line="240" w:lineRule="auto"/>
        <w:ind w:firstLine="709"/>
        <w:contextualSpacing/>
        <w:jc w:val="both"/>
        <w:rPr>
          <w:rFonts w:ascii="Times New Roman" w:hAnsi="Times New Roman" w:cs="Times New Roman"/>
          <w:color w:val="000000" w:themeColor="text1"/>
          <w:sz w:val="28"/>
          <w:szCs w:val="28"/>
        </w:rPr>
      </w:pPr>
      <w:r w:rsidRPr="008124F0">
        <w:rPr>
          <w:rFonts w:ascii="Times New Roman" w:hAnsi="Times New Roman" w:cs="Times New Roman"/>
          <w:color w:val="000000" w:themeColor="text1"/>
          <w:sz w:val="28"/>
          <w:szCs w:val="28"/>
        </w:rPr>
        <w:t>образование</w:t>
      </w:r>
      <w:r w:rsidRPr="008124F0">
        <w:rPr>
          <w:rFonts w:ascii="Times New Roman" w:hAnsi="Times New Roman" w:cs="Times New Roman"/>
          <w:color w:val="000000" w:themeColor="text1"/>
          <w:sz w:val="28"/>
          <w:szCs w:val="28"/>
          <w:lang w:val="en-US"/>
        </w:rPr>
        <w:t>;</w:t>
      </w:r>
    </w:p>
    <w:p w:rsidR="008124F0" w:rsidRPr="008124F0" w:rsidRDefault="008124F0" w:rsidP="008124F0">
      <w:pPr>
        <w:numPr>
          <w:ilvl w:val="0"/>
          <w:numId w:val="2"/>
        </w:numPr>
        <w:tabs>
          <w:tab w:val="left" w:pos="993"/>
        </w:tabs>
        <w:spacing w:after="0" w:line="240" w:lineRule="auto"/>
        <w:ind w:firstLine="709"/>
        <w:contextualSpacing/>
        <w:jc w:val="both"/>
        <w:rPr>
          <w:rFonts w:ascii="Times New Roman" w:hAnsi="Times New Roman" w:cs="Times New Roman"/>
          <w:color w:val="000000" w:themeColor="text1"/>
          <w:sz w:val="28"/>
          <w:szCs w:val="28"/>
        </w:rPr>
      </w:pPr>
      <w:r w:rsidRPr="008124F0">
        <w:rPr>
          <w:rFonts w:ascii="Times New Roman" w:hAnsi="Times New Roman" w:cs="Times New Roman"/>
          <w:color w:val="000000" w:themeColor="text1"/>
          <w:sz w:val="28"/>
          <w:szCs w:val="28"/>
        </w:rPr>
        <w:t>здравоохранение</w:t>
      </w:r>
      <w:r w:rsidRPr="008124F0">
        <w:rPr>
          <w:rFonts w:ascii="Times New Roman" w:hAnsi="Times New Roman" w:cs="Times New Roman"/>
          <w:color w:val="000000" w:themeColor="text1"/>
          <w:sz w:val="28"/>
          <w:szCs w:val="28"/>
          <w:lang w:val="en-US"/>
        </w:rPr>
        <w:t>;</w:t>
      </w:r>
    </w:p>
    <w:p w:rsidR="008124F0" w:rsidRPr="008124F0" w:rsidRDefault="008124F0" w:rsidP="008124F0">
      <w:pPr>
        <w:numPr>
          <w:ilvl w:val="0"/>
          <w:numId w:val="2"/>
        </w:numPr>
        <w:tabs>
          <w:tab w:val="left" w:pos="993"/>
        </w:tabs>
        <w:spacing w:after="0" w:line="240" w:lineRule="auto"/>
        <w:ind w:firstLine="709"/>
        <w:contextualSpacing/>
        <w:jc w:val="both"/>
        <w:rPr>
          <w:rFonts w:ascii="Times New Roman" w:hAnsi="Times New Roman" w:cs="Times New Roman"/>
          <w:color w:val="000000" w:themeColor="text1"/>
          <w:sz w:val="28"/>
          <w:szCs w:val="28"/>
        </w:rPr>
      </w:pPr>
      <w:r w:rsidRPr="008124F0">
        <w:rPr>
          <w:rFonts w:ascii="Times New Roman" w:hAnsi="Times New Roman" w:cs="Times New Roman"/>
          <w:color w:val="000000" w:themeColor="text1"/>
          <w:sz w:val="28"/>
          <w:szCs w:val="28"/>
        </w:rPr>
        <w:t>личные свободы</w:t>
      </w:r>
      <w:r w:rsidRPr="008124F0">
        <w:rPr>
          <w:rFonts w:ascii="Times New Roman" w:hAnsi="Times New Roman" w:cs="Times New Roman"/>
          <w:color w:val="000000" w:themeColor="text1"/>
          <w:sz w:val="28"/>
          <w:szCs w:val="28"/>
          <w:lang w:val="en-US"/>
        </w:rPr>
        <w:t>;</w:t>
      </w:r>
    </w:p>
    <w:p w:rsidR="008124F0" w:rsidRPr="008124F0" w:rsidRDefault="008124F0" w:rsidP="008124F0">
      <w:pPr>
        <w:numPr>
          <w:ilvl w:val="0"/>
          <w:numId w:val="2"/>
        </w:numPr>
        <w:tabs>
          <w:tab w:val="left" w:pos="993"/>
        </w:tabs>
        <w:spacing w:after="0" w:line="240" w:lineRule="auto"/>
        <w:ind w:firstLine="709"/>
        <w:contextualSpacing/>
        <w:jc w:val="both"/>
        <w:rPr>
          <w:rFonts w:ascii="Times New Roman" w:hAnsi="Times New Roman" w:cs="Times New Roman"/>
          <w:color w:val="000000" w:themeColor="text1"/>
          <w:sz w:val="28"/>
          <w:szCs w:val="28"/>
        </w:rPr>
      </w:pPr>
      <w:r w:rsidRPr="008124F0">
        <w:rPr>
          <w:rFonts w:ascii="Times New Roman" w:hAnsi="Times New Roman" w:cs="Times New Roman"/>
          <w:color w:val="000000" w:themeColor="text1"/>
          <w:sz w:val="28"/>
          <w:szCs w:val="28"/>
        </w:rPr>
        <w:t>безопасность</w:t>
      </w:r>
      <w:r w:rsidRPr="008124F0">
        <w:rPr>
          <w:rFonts w:ascii="Times New Roman" w:hAnsi="Times New Roman" w:cs="Times New Roman"/>
          <w:color w:val="000000" w:themeColor="text1"/>
          <w:sz w:val="28"/>
          <w:szCs w:val="28"/>
          <w:lang w:val="en-US"/>
        </w:rPr>
        <w:t>;</w:t>
      </w:r>
    </w:p>
    <w:p w:rsidR="008124F0" w:rsidRPr="008124F0" w:rsidRDefault="008124F0" w:rsidP="008124F0">
      <w:pPr>
        <w:numPr>
          <w:ilvl w:val="0"/>
          <w:numId w:val="2"/>
        </w:numPr>
        <w:tabs>
          <w:tab w:val="left" w:pos="993"/>
        </w:tabs>
        <w:spacing w:after="0" w:line="240" w:lineRule="auto"/>
        <w:ind w:firstLine="709"/>
        <w:contextualSpacing/>
        <w:jc w:val="both"/>
        <w:rPr>
          <w:rFonts w:ascii="Times New Roman" w:hAnsi="Times New Roman" w:cs="Times New Roman"/>
          <w:color w:val="000000" w:themeColor="text1"/>
          <w:sz w:val="28"/>
          <w:szCs w:val="28"/>
        </w:rPr>
      </w:pPr>
      <w:r w:rsidRPr="008124F0">
        <w:rPr>
          <w:rFonts w:ascii="Times New Roman" w:hAnsi="Times New Roman" w:cs="Times New Roman"/>
          <w:color w:val="000000" w:themeColor="text1"/>
          <w:sz w:val="28"/>
          <w:szCs w:val="28"/>
        </w:rPr>
        <w:t>социальный капитал</w:t>
      </w:r>
      <w:r w:rsidRPr="008124F0">
        <w:rPr>
          <w:rFonts w:ascii="Times New Roman" w:hAnsi="Times New Roman" w:cs="Times New Roman"/>
          <w:color w:val="000000" w:themeColor="text1"/>
          <w:sz w:val="28"/>
          <w:szCs w:val="28"/>
          <w:lang w:val="en-US"/>
        </w:rPr>
        <w:t>;</w:t>
      </w:r>
    </w:p>
    <w:p w:rsidR="008124F0" w:rsidRPr="008124F0" w:rsidRDefault="008124F0" w:rsidP="008124F0">
      <w:pPr>
        <w:numPr>
          <w:ilvl w:val="0"/>
          <w:numId w:val="2"/>
        </w:numPr>
        <w:tabs>
          <w:tab w:val="left" w:pos="993"/>
        </w:tabs>
        <w:spacing w:after="0" w:line="240" w:lineRule="auto"/>
        <w:ind w:firstLine="709"/>
        <w:contextualSpacing/>
        <w:jc w:val="both"/>
        <w:rPr>
          <w:rFonts w:ascii="Times New Roman" w:hAnsi="Times New Roman" w:cs="Times New Roman"/>
          <w:color w:val="000000" w:themeColor="text1"/>
          <w:sz w:val="28"/>
          <w:szCs w:val="28"/>
        </w:rPr>
      </w:pPr>
      <w:r w:rsidRPr="008124F0">
        <w:rPr>
          <w:rFonts w:ascii="Times New Roman" w:hAnsi="Times New Roman" w:cs="Times New Roman"/>
          <w:color w:val="000000" w:themeColor="text1"/>
          <w:sz w:val="28"/>
          <w:szCs w:val="28"/>
        </w:rPr>
        <w:lastRenderedPageBreak/>
        <w:t xml:space="preserve">экология </w:t>
      </w:r>
      <w:r w:rsidRPr="008124F0">
        <w:rPr>
          <w:rFonts w:ascii="Times New Roman" w:hAnsi="Times New Roman" w:cs="Times New Roman"/>
          <w:color w:val="000000" w:themeColor="text1"/>
          <w:sz w:val="28"/>
          <w:szCs w:val="28"/>
          <w:lang w:val="en-US"/>
        </w:rPr>
        <w:t>[1]</w:t>
      </w:r>
      <w:r w:rsidRPr="008124F0">
        <w:rPr>
          <w:rFonts w:ascii="Times New Roman" w:hAnsi="Times New Roman" w:cs="Times New Roman"/>
          <w:color w:val="000000" w:themeColor="text1"/>
          <w:sz w:val="28"/>
          <w:szCs w:val="28"/>
        </w:rPr>
        <w:t>.</w:t>
      </w:r>
    </w:p>
    <w:p w:rsidR="008124F0" w:rsidRPr="008124F0" w:rsidRDefault="008124F0" w:rsidP="008124F0">
      <w:pPr>
        <w:spacing w:after="0" w:line="240" w:lineRule="auto"/>
        <w:ind w:firstLine="709"/>
        <w:jc w:val="both"/>
        <w:rPr>
          <w:rFonts w:ascii="Times New Roman" w:hAnsi="Times New Roman" w:cs="Times New Roman"/>
          <w:color w:val="000000" w:themeColor="text1"/>
          <w:sz w:val="28"/>
          <w:szCs w:val="28"/>
        </w:rPr>
      </w:pPr>
      <w:r w:rsidRPr="008124F0">
        <w:rPr>
          <w:rFonts w:ascii="Times New Roman" w:hAnsi="Times New Roman" w:cs="Times New Roman"/>
          <w:color w:val="000000" w:themeColor="text1"/>
          <w:sz w:val="28"/>
          <w:szCs w:val="28"/>
        </w:rPr>
        <w:t>В свою очередь, технологический прогресс страны наглядно продемонстрирует глобальный индекс инноваций (ГИИ), который представляет собой рейтинг стран мира по показателю уровня развития инноваций. Кроме того, этот индекс так же является комбинированным и составлен из 82 различных переменных, которые объединены в две группы:</w:t>
      </w:r>
    </w:p>
    <w:p w:rsidR="008124F0" w:rsidRPr="008124F0" w:rsidRDefault="008124F0" w:rsidP="008124F0">
      <w:pPr>
        <w:numPr>
          <w:ilvl w:val="0"/>
          <w:numId w:val="2"/>
        </w:numPr>
        <w:spacing w:after="0" w:line="240" w:lineRule="auto"/>
        <w:ind w:firstLine="709"/>
        <w:contextualSpacing/>
        <w:jc w:val="both"/>
        <w:rPr>
          <w:rFonts w:ascii="Times New Roman" w:hAnsi="Times New Roman" w:cs="Times New Roman"/>
          <w:color w:val="000000" w:themeColor="text1"/>
          <w:sz w:val="28"/>
          <w:szCs w:val="28"/>
        </w:rPr>
      </w:pPr>
      <w:r w:rsidRPr="008124F0">
        <w:rPr>
          <w:rFonts w:ascii="Times New Roman" w:hAnsi="Times New Roman" w:cs="Times New Roman"/>
          <w:color w:val="000000" w:themeColor="text1"/>
          <w:sz w:val="28"/>
          <w:szCs w:val="28"/>
        </w:rPr>
        <w:t>располагаемые ресурсы и условия проведения инноваций. В состав этой группы входят переменные, связанные с наличием инновационного потенциала, например, институты, исследования, человеческий капитал и др.;</w:t>
      </w:r>
    </w:p>
    <w:p w:rsidR="008124F0" w:rsidRPr="008124F0" w:rsidRDefault="008124F0" w:rsidP="008124F0">
      <w:pPr>
        <w:numPr>
          <w:ilvl w:val="0"/>
          <w:numId w:val="2"/>
        </w:numPr>
        <w:spacing w:after="0" w:line="240" w:lineRule="auto"/>
        <w:ind w:firstLine="709"/>
        <w:contextualSpacing/>
        <w:jc w:val="both"/>
        <w:rPr>
          <w:rFonts w:ascii="Times New Roman" w:hAnsi="Times New Roman" w:cs="Times New Roman"/>
          <w:color w:val="000000" w:themeColor="text1"/>
          <w:sz w:val="28"/>
          <w:szCs w:val="28"/>
        </w:rPr>
      </w:pPr>
      <w:r w:rsidRPr="008124F0">
        <w:rPr>
          <w:rFonts w:ascii="Times New Roman" w:hAnsi="Times New Roman" w:cs="Times New Roman"/>
          <w:color w:val="000000" w:themeColor="text1"/>
          <w:sz w:val="28"/>
          <w:szCs w:val="28"/>
        </w:rPr>
        <w:t>достигнутые практические результаты осуществления инноваций</w:t>
      </w:r>
      <w:r w:rsidRPr="008124F0">
        <w:rPr>
          <w:rFonts w:ascii="Times New Roman" w:hAnsi="Times New Roman" w:cs="Times New Roman"/>
          <w:color w:val="000000" w:themeColor="text1"/>
          <w:sz w:val="28"/>
          <w:szCs w:val="28"/>
          <w:lang w:val="en-US"/>
        </w:rPr>
        <w:t> </w:t>
      </w:r>
      <w:r w:rsidRPr="008124F0">
        <w:rPr>
          <w:rFonts w:ascii="Times New Roman" w:hAnsi="Times New Roman" w:cs="Times New Roman"/>
          <w:color w:val="000000" w:themeColor="text1"/>
          <w:sz w:val="28"/>
          <w:szCs w:val="28"/>
        </w:rPr>
        <w:t>[1].</w:t>
      </w:r>
    </w:p>
    <w:p w:rsidR="008124F0" w:rsidRPr="008124F0" w:rsidRDefault="008124F0" w:rsidP="008124F0">
      <w:pPr>
        <w:spacing w:after="0" w:line="240" w:lineRule="auto"/>
        <w:ind w:firstLine="709"/>
        <w:jc w:val="both"/>
        <w:rPr>
          <w:rFonts w:ascii="Times New Roman" w:hAnsi="Times New Roman" w:cs="Times New Roman"/>
          <w:color w:val="000000" w:themeColor="text1"/>
          <w:sz w:val="28"/>
          <w:szCs w:val="28"/>
        </w:rPr>
      </w:pPr>
      <w:r w:rsidRPr="008124F0">
        <w:rPr>
          <w:rFonts w:ascii="Times New Roman" w:hAnsi="Times New Roman" w:cs="Times New Roman"/>
          <w:color w:val="000000" w:themeColor="text1"/>
          <w:sz w:val="28"/>
          <w:szCs w:val="28"/>
        </w:rPr>
        <w:t xml:space="preserve">Синергия описанных выше показателей положительно сказывается как на росте экономики, так и на положительном социальном эффекте. Такую взаимосвязь демонстрируют страны, активно использующие подобную политику развития экономики в табл. 1. </w:t>
      </w:r>
    </w:p>
    <w:p w:rsidR="008124F0" w:rsidRPr="008124F0" w:rsidRDefault="008124F0" w:rsidP="008124F0">
      <w:pPr>
        <w:spacing w:after="0" w:line="240" w:lineRule="auto"/>
        <w:ind w:firstLine="709"/>
        <w:jc w:val="both"/>
        <w:rPr>
          <w:rFonts w:ascii="Times New Roman" w:hAnsi="Times New Roman" w:cs="Times New Roman"/>
          <w:color w:val="000000" w:themeColor="text1"/>
          <w:sz w:val="28"/>
          <w:szCs w:val="28"/>
        </w:rPr>
      </w:pPr>
    </w:p>
    <w:p w:rsidR="008124F0" w:rsidRPr="008124F0" w:rsidRDefault="008124F0" w:rsidP="008124F0">
      <w:pPr>
        <w:spacing w:after="0" w:line="240" w:lineRule="auto"/>
        <w:jc w:val="right"/>
        <w:rPr>
          <w:rFonts w:ascii="Times New Roman" w:hAnsi="Times New Roman" w:cs="Times New Roman"/>
          <w:color w:val="000000" w:themeColor="text1"/>
          <w:sz w:val="28"/>
          <w:szCs w:val="28"/>
        </w:rPr>
      </w:pPr>
      <w:r w:rsidRPr="008124F0">
        <w:rPr>
          <w:rFonts w:ascii="Times New Roman" w:hAnsi="Times New Roman" w:cs="Times New Roman"/>
          <w:color w:val="000000" w:themeColor="text1"/>
          <w:sz w:val="28"/>
          <w:szCs w:val="28"/>
        </w:rPr>
        <w:t>Таблица 1</w:t>
      </w:r>
    </w:p>
    <w:p w:rsidR="008124F0" w:rsidRPr="008124F0" w:rsidRDefault="008124F0" w:rsidP="008124F0">
      <w:pPr>
        <w:spacing w:after="0" w:line="240" w:lineRule="auto"/>
        <w:contextualSpacing/>
        <w:jc w:val="center"/>
        <w:rPr>
          <w:rFonts w:ascii="Times New Roman" w:hAnsi="Times New Roman" w:cs="Times New Roman"/>
          <w:color w:val="000000" w:themeColor="text1"/>
          <w:sz w:val="28"/>
          <w:szCs w:val="28"/>
        </w:rPr>
      </w:pPr>
      <w:r w:rsidRPr="008124F0">
        <w:rPr>
          <w:rFonts w:ascii="Times New Roman" w:hAnsi="Times New Roman" w:cs="Times New Roman"/>
          <w:color w:val="000000" w:themeColor="text1"/>
          <w:sz w:val="28"/>
          <w:szCs w:val="28"/>
        </w:rPr>
        <w:t>Динамика глобального индекса инноваций Китая, США, Японии, РФ и индекса процветания Китая, США, Японии, РФ, 2014-2019гг. [2,3]</w:t>
      </w:r>
    </w:p>
    <w:tbl>
      <w:tblPr>
        <w:tblW w:w="9519" w:type="dxa"/>
        <w:jc w:val="center"/>
        <w:tblLook w:val="04A0" w:firstRow="1" w:lastRow="0" w:firstColumn="1" w:lastColumn="0" w:noHBand="0" w:noVBand="1"/>
      </w:tblPr>
      <w:tblGrid>
        <w:gridCol w:w="1105"/>
        <w:gridCol w:w="701"/>
        <w:gridCol w:w="699"/>
        <w:gridCol w:w="701"/>
        <w:gridCol w:w="688"/>
        <w:gridCol w:w="701"/>
        <w:gridCol w:w="688"/>
        <w:gridCol w:w="701"/>
        <w:gridCol w:w="688"/>
        <w:gridCol w:w="701"/>
        <w:gridCol w:w="688"/>
        <w:gridCol w:w="701"/>
        <w:gridCol w:w="809"/>
      </w:tblGrid>
      <w:tr w:rsidR="008124F0" w:rsidRPr="008124F0" w:rsidTr="00B36FDB">
        <w:trPr>
          <w:trHeight w:val="339"/>
          <w:jc w:val="center"/>
        </w:trPr>
        <w:tc>
          <w:tcPr>
            <w:tcW w:w="11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4"/>
                <w:szCs w:val="24"/>
                <w:lang w:eastAsia="ru-RU"/>
              </w:rPr>
            </w:pPr>
            <w:r w:rsidRPr="008124F0">
              <w:rPr>
                <w:rFonts w:ascii="Times New Roman" w:eastAsia="Times New Roman" w:hAnsi="Times New Roman" w:cs="Times New Roman"/>
                <w:color w:val="000000" w:themeColor="text1"/>
                <w:sz w:val="24"/>
                <w:szCs w:val="24"/>
                <w:lang w:eastAsia="ru-RU"/>
              </w:rPr>
              <w:t>Страна</w:t>
            </w:r>
          </w:p>
        </w:tc>
        <w:tc>
          <w:tcPr>
            <w:tcW w:w="1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4"/>
                <w:szCs w:val="24"/>
                <w:lang w:eastAsia="ru-RU"/>
              </w:rPr>
            </w:pPr>
            <w:r w:rsidRPr="008124F0">
              <w:rPr>
                <w:rFonts w:ascii="Times New Roman" w:eastAsia="Times New Roman" w:hAnsi="Times New Roman" w:cs="Times New Roman"/>
                <w:color w:val="000000" w:themeColor="text1"/>
                <w:sz w:val="24"/>
                <w:szCs w:val="24"/>
                <w:lang w:eastAsia="ru-RU"/>
              </w:rPr>
              <w:t>2014 г.</w:t>
            </w:r>
          </w:p>
        </w:tc>
        <w:tc>
          <w:tcPr>
            <w:tcW w:w="1378" w:type="dxa"/>
            <w:gridSpan w:val="2"/>
            <w:tcBorders>
              <w:top w:val="single" w:sz="4" w:space="0" w:color="auto"/>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4"/>
                <w:szCs w:val="24"/>
                <w:lang w:eastAsia="ru-RU"/>
              </w:rPr>
            </w:pPr>
            <w:r w:rsidRPr="008124F0">
              <w:rPr>
                <w:rFonts w:ascii="Times New Roman" w:eastAsia="Times New Roman" w:hAnsi="Times New Roman" w:cs="Times New Roman"/>
                <w:color w:val="000000" w:themeColor="text1"/>
                <w:sz w:val="24"/>
                <w:szCs w:val="24"/>
                <w:lang w:eastAsia="ru-RU"/>
              </w:rPr>
              <w:t>2015 г.</w:t>
            </w:r>
          </w:p>
        </w:tc>
        <w:tc>
          <w:tcPr>
            <w:tcW w:w="1378" w:type="dxa"/>
            <w:gridSpan w:val="2"/>
            <w:tcBorders>
              <w:top w:val="single" w:sz="4" w:space="0" w:color="auto"/>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4"/>
                <w:szCs w:val="24"/>
                <w:lang w:eastAsia="ru-RU"/>
              </w:rPr>
            </w:pPr>
            <w:r w:rsidRPr="008124F0">
              <w:rPr>
                <w:rFonts w:ascii="Times New Roman" w:eastAsia="Times New Roman" w:hAnsi="Times New Roman" w:cs="Times New Roman"/>
                <w:color w:val="000000" w:themeColor="text1"/>
                <w:sz w:val="24"/>
                <w:szCs w:val="24"/>
                <w:lang w:eastAsia="ru-RU"/>
              </w:rPr>
              <w:t>2016 г.</w:t>
            </w:r>
          </w:p>
        </w:tc>
        <w:tc>
          <w:tcPr>
            <w:tcW w:w="1378" w:type="dxa"/>
            <w:gridSpan w:val="2"/>
            <w:tcBorders>
              <w:top w:val="single" w:sz="4" w:space="0" w:color="auto"/>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4"/>
                <w:szCs w:val="24"/>
                <w:lang w:eastAsia="ru-RU"/>
              </w:rPr>
            </w:pPr>
            <w:r w:rsidRPr="008124F0">
              <w:rPr>
                <w:rFonts w:ascii="Times New Roman" w:eastAsia="Times New Roman" w:hAnsi="Times New Roman" w:cs="Times New Roman"/>
                <w:color w:val="000000" w:themeColor="text1"/>
                <w:sz w:val="24"/>
                <w:szCs w:val="24"/>
                <w:lang w:eastAsia="ru-RU"/>
              </w:rPr>
              <w:t>2017 г.</w:t>
            </w:r>
          </w:p>
        </w:tc>
        <w:tc>
          <w:tcPr>
            <w:tcW w:w="1378" w:type="dxa"/>
            <w:gridSpan w:val="2"/>
            <w:tcBorders>
              <w:top w:val="single" w:sz="4" w:space="0" w:color="auto"/>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4"/>
                <w:szCs w:val="24"/>
                <w:lang w:eastAsia="ru-RU"/>
              </w:rPr>
            </w:pPr>
            <w:r w:rsidRPr="008124F0">
              <w:rPr>
                <w:rFonts w:ascii="Times New Roman" w:eastAsia="Times New Roman" w:hAnsi="Times New Roman" w:cs="Times New Roman"/>
                <w:color w:val="000000" w:themeColor="text1"/>
                <w:sz w:val="24"/>
                <w:szCs w:val="24"/>
                <w:lang w:eastAsia="ru-RU"/>
              </w:rPr>
              <w:t>2018 г.</w:t>
            </w:r>
          </w:p>
        </w:tc>
        <w:tc>
          <w:tcPr>
            <w:tcW w:w="1499" w:type="dxa"/>
            <w:gridSpan w:val="2"/>
            <w:tcBorders>
              <w:top w:val="single" w:sz="4" w:space="0" w:color="auto"/>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4"/>
                <w:szCs w:val="24"/>
                <w:lang w:eastAsia="ru-RU"/>
              </w:rPr>
            </w:pPr>
            <w:r w:rsidRPr="008124F0">
              <w:rPr>
                <w:rFonts w:ascii="Times New Roman" w:eastAsia="Times New Roman" w:hAnsi="Times New Roman" w:cs="Times New Roman"/>
                <w:color w:val="000000" w:themeColor="text1"/>
                <w:sz w:val="24"/>
                <w:szCs w:val="24"/>
                <w:lang w:eastAsia="ru-RU"/>
              </w:rPr>
              <w:t>2019 г.</w:t>
            </w:r>
          </w:p>
        </w:tc>
      </w:tr>
      <w:tr w:rsidR="008124F0" w:rsidRPr="008124F0" w:rsidTr="00B36FDB">
        <w:trPr>
          <w:trHeight w:val="417"/>
          <w:jc w:val="center"/>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8124F0" w:rsidRPr="008124F0" w:rsidRDefault="008124F0" w:rsidP="008124F0">
            <w:pPr>
              <w:spacing w:after="0" w:line="240" w:lineRule="auto"/>
              <w:rPr>
                <w:rFonts w:ascii="Times New Roman" w:eastAsia="Times New Roman" w:hAnsi="Times New Roman" w:cs="Times New Roman"/>
                <w:color w:val="000000" w:themeColor="text1"/>
                <w:sz w:val="24"/>
                <w:szCs w:val="24"/>
                <w:lang w:eastAsia="ru-RU"/>
              </w:rPr>
            </w:pPr>
          </w:p>
        </w:tc>
        <w:tc>
          <w:tcPr>
            <w:tcW w:w="700"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4"/>
                <w:szCs w:val="24"/>
                <w:lang w:eastAsia="ru-RU"/>
              </w:rPr>
            </w:pPr>
            <w:r w:rsidRPr="008124F0">
              <w:rPr>
                <w:rFonts w:ascii="Times New Roman" w:eastAsia="Times New Roman" w:hAnsi="Times New Roman" w:cs="Times New Roman"/>
                <w:color w:val="000000" w:themeColor="text1"/>
                <w:sz w:val="24"/>
                <w:szCs w:val="24"/>
                <w:lang w:eastAsia="ru-RU"/>
              </w:rPr>
              <w:t>ГИИ</w:t>
            </w:r>
          </w:p>
        </w:tc>
        <w:tc>
          <w:tcPr>
            <w:tcW w:w="700"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4"/>
                <w:szCs w:val="24"/>
                <w:lang w:eastAsia="ru-RU"/>
              </w:rPr>
            </w:pPr>
            <w:r w:rsidRPr="008124F0">
              <w:rPr>
                <w:rFonts w:ascii="Times New Roman" w:eastAsia="Times New Roman" w:hAnsi="Times New Roman" w:cs="Times New Roman"/>
                <w:color w:val="000000" w:themeColor="text1"/>
                <w:sz w:val="24"/>
                <w:szCs w:val="24"/>
                <w:lang w:eastAsia="ru-RU"/>
              </w:rPr>
              <w:t>ИП</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4"/>
                <w:szCs w:val="24"/>
                <w:lang w:eastAsia="ru-RU"/>
              </w:rPr>
            </w:pPr>
            <w:r w:rsidRPr="008124F0">
              <w:rPr>
                <w:rFonts w:ascii="Times New Roman" w:eastAsia="Times New Roman" w:hAnsi="Times New Roman" w:cs="Times New Roman"/>
                <w:color w:val="000000" w:themeColor="text1"/>
                <w:sz w:val="24"/>
                <w:szCs w:val="24"/>
                <w:lang w:eastAsia="ru-RU"/>
              </w:rPr>
              <w:t>ГИИ</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4"/>
                <w:szCs w:val="24"/>
                <w:lang w:eastAsia="ru-RU"/>
              </w:rPr>
            </w:pPr>
            <w:r w:rsidRPr="008124F0">
              <w:rPr>
                <w:rFonts w:ascii="Times New Roman" w:eastAsia="Times New Roman" w:hAnsi="Times New Roman" w:cs="Times New Roman"/>
                <w:color w:val="000000" w:themeColor="text1"/>
                <w:sz w:val="24"/>
                <w:szCs w:val="24"/>
                <w:lang w:eastAsia="ru-RU"/>
              </w:rPr>
              <w:t>ИП</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4"/>
                <w:szCs w:val="24"/>
                <w:lang w:eastAsia="ru-RU"/>
              </w:rPr>
            </w:pPr>
            <w:r w:rsidRPr="008124F0">
              <w:rPr>
                <w:rFonts w:ascii="Times New Roman" w:eastAsia="Times New Roman" w:hAnsi="Times New Roman" w:cs="Times New Roman"/>
                <w:color w:val="000000" w:themeColor="text1"/>
                <w:sz w:val="24"/>
                <w:szCs w:val="24"/>
                <w:lang w:eastAsia="ru-RU"/>
              </w:rPr>
              <w:t>ГИИ</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4"/>
                <w:szCs w:val="24"/>
                <w:lang w:eastAsia="ru-RU"/>
              </w:rPr>
            </w:pPr>
            <w:r w:rsidRPr="008124F0">
              <w:rPr>
                <w:rFonts w:ascii="Times New Roman" w:eastAsia="Times New Roman" w:hAnsi="Times New Roman" w:cs="Times New Roman"/>
                <w:color w:val="000000" w:themeColor="text1"/>
                <w:sz w:val="24"/>
                <w:szCs w:val="24"/>
                <w:lang w:eastAsia="ru-RU"/>
              </w:rPr>
              <w:t>ИП</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4"/>
                <w:szCs w:val="24"/>
                <w:lang w:eastAsia="ru-RU"/>
              </w:rPr>
            </w:pPr>
            <w:r w:rsidRPr="008124F0">
              <w:rPr>
                <w:rFonts w:ascii="Times New Roman" w:eastAsia="Times New Roman" w:hAnsi="Times New Roman" w:cs="Times New Roman"/>
                <w:color w:val="000000" w:themeColor="text1"/>
                <w:sz w:val="24"/>
                <w:szCs w:val="24"/>
                <w:lang w:eastAsia="ru-RU"/>
              </w:rPr>
              <w:t>ГИИ</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4"/>
                <w:szCs w:val="24"/>
                <w:lang w:eastAsia="ru-RU"/>
              </w:rPr>
            </w:pPr>
            <w:r w:rsidRPr="008124F0">
              <w:rPr>
                <w:rFonts w:ascii="Times New Roman" w:eastAsia="Times New Roman" w:hAnsi="Times New Roman" w:cs="Times New Roman"/>
                <w:color w:val="000000" w:themeColor="text1"/>
                <w:sz w:val="24"/>
                <w:szCs w:val="24"/>
                <w:lang w:eastAsia="ru-RU"/>
              </w:rPr>
              <w:t>ИП</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4"/>
                <w:szCs w:val="24"/>
                <w:lang w:eastAsia="ru-RU"/>
              </w:rPr>
            </w:pPr>
            <w:r w:rsidRPr="008124F0">
              <w:rPr>
                <w:rFonts w:ascii="Times New Roman" w:eastAsia="Times New Roman" w:hAnsi="Times New Roman" w:cs="Times New Roman"/>
                <w:color w:val="000000" w:themeColor="text1"/>
                <w:sz w:val="24"/>
                <w:szCs w:val="24"/>
                <w:lang w:eastAsia="ru-RU"/>
              </w:rPr>
              <w:t>ГИИ</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4"/>
                <w:szCs w:val="24"/>
                <w:lang w:eastAsia="ru-RU"/>
              </w:rPr>
            </w:pPr>
            <w:r w:rsidRPr="008124F0">
              <w:rPr>
                <w:rFonts w:ascii="Times New Roman" w:eastAsia="Times New Roman" w:hAnsi="Times New Roman" w:cs="Times New Roman"/>
                <w:color w:val="000000" w:themeColor="text1"/>
                <w:sz w:val="24"/>
                <w:szCs w:val="24"/>
                <w:lang w:eastAsia="ru-RU"/>
              </w:rPr>
              <w:t>ИП</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4"/>
                <w:szCs w:val="24"/>
                <w:lang w:eastAsia="ru-RU"/>
              </w:rPr>
            </w:pPr>
            <w:r w:rsidRPr="008124F0">
              <w:rPr>
                <w:rFonts w:ascii="Times New Roman" w:eastAsia="Times New Roman" w:hAnsi="Times New Roman" w:cs="Times New Roman"/>
                <w:color w:val="000000" w:themeColor="text1"/>
                <w:sz w:val="24"/>
                <w:szCs w:val="24"/>
                <w:lang w:eastAsia="ru-RU"/>
              </w:rPr>
              <w:t>ГИИ</w:t>
            </w:r>
          </w:p>
        </w:tc>
        <w:tc>
          <w:tcPr>
            <w:tcW w:w="810"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4"/>
                <w:szCs w:val="24"/>
                <w:lang w:eastAsia="ru-RU"/>
              </w:rPr>
            </w:pPr>
            <w:r w:rsidRPr="008124F0">
              <w:rPr>
                <w:rFonts w:ascii="Times New Roman" w:eastAsia="Times New Roman" w:hAnsi="Times New Roman" w:cs="Times New Roman"/>
                <w:color w:val="000000" w:themeColor="text1"/>
                <w:sz w:val="24"/>
                <w:szCs w:val="24"/>
                <w:lang w:eastAsia="ru-RU"/>
              </w:rPr>
              <w:t>ИП</w:t>
            </w:r>
          </w:p>
        </w:tc>
      </w:tr>
      <w:tr w:rsidR="008124F0" w:rsidRPr="008124F0" w:rsidTr="00B36FDB">
        <w:trPr>
          <w:trHeight w:val="422"/>
          <w:jc w:val="center"/>
        </w:trPr>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4"/>
                <w:szCs w:val="24"/>
                <w:lang w:eastAsia="ru-RU"/>
              </w:rPr>
            </w:pPr>
            <w:r w:rsidRPr="008124F0">
              <w:rPr>
                <w:rFonts w:ascii="Times New Roman" w:eastAsia="Times New Roman" w:hAnsi="Times New Roman" w:cs="Times New Roman"/>
                <w:color w:val="000000" w:themeColor="text1"/>
                <w:sz w:val="24"/>
                <w:szCs w:val="24"/>
                <w:lang w:eastAsia="ru-RU"/>
              </w:rPr>
              <w:t>Китай</w:t>
            </w:r>
          </w:p>
        </w:tc>
        <w:tc>
          <w:tcPr>
            <w:tcW w:w="700"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46,57</w:t>
            </w:r>
          </w:p>
        </w:tc>
        <w:tc>
          <w:tcPr>
            <w:tcW w:w="700"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58,25</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47,50</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58,82</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50,57</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59,15</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52,54</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59,36</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53,10</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60,05</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54,80</w:t>
            </w:r>
          </w:p>
        </w:tc>
        <w:tc>
          <w:tcPr>
            <w:tcW w:w="810"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60,76</w:t>
            </w:r>
          </w:p>
        </w:tc>
      </w:tr>
      <w:tr w:rsidR="008124F0" w:rsidRPr="008124F0" w:rsidTr="00B36FDB">
        <w:trPr>
          <w:trHeight w:val="414"/>
          <w:jc w:val="center"/>
        </w:trPr>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4"/>
                <w:szCs w:val="24"/>
                <w:lang w:eastAsia="ru-RU"/>
              </w:rPr>
            </w:pPr>
            <w:r w:rsidRPr="008124F0">
              <w:rPr>
                <w:rFonts w:ascii="Times New Roman" w:eastAsia="Times New Roman" w:hAnsi="Times New Roman" w:cs="Times New Roman"/>
                <w:color w:val="000000" w:themeColor="text1"/>
                <w:sz w:val="24"/>
                <w:szCs w:val="24"/>
                <w:lang w:eastAsia="ru-RU"/>
              </w:rPr>
              <w:t>Япония</w:t>
            </w:r>
          </w:p>
        </w:tc>
        <w:tc>
          <w:tcPr>
            <w:tcW w:w="700"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52,41</w:t>
            </w:r>
          </w:p>
        </w:tc>
        <w:tc>
          <w:tcPr>
            <w:tcW w:w="700"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75,83</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54,00</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76,45</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54,52</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76,46</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54,72</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76,71</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55,00</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77,31</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54,70</w:t>
            </w:r>
          </w:p>
        </w:tc>
        <w:tc>
          <w:tcPr>
            <w:tcW w:w="810"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77,06</w:t>
            </w:r>
          </w:p>
        </w:tc>
      </w:tr>
      <w:tr w:rsidR="008124F0" w:rsidRPr="008124F0" w:rsidTr="00B36FDB">
        <w:trPr>
          <w:trHeight w:val="405"/>
          <w:jc w:val="center"/>
        </w:trPr>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4"/>
                <w:szCs w:val="24"/>
                <w:lang w:eastAsia="ru-RU"/>
              </w:rPr>
            </w:pPr>
            <w:r w:rsidRPr="008124F0">
              <w:rPr>
                <w:rFonts w:ascii="Times New Roman" w:eastAsia="Times New Roman" w:hAnsi="Times New Roman" w:cs="Times New Roman"/>
                <w:color w:val="000000" w:themeColor="text1"/>
                <w:sz w:val="24"/>
                <w:szCs w:val="24"/>
                <w:lang w:eastAsia="ru-RU"/>
              </w:rPr>
              <w:t>США</w:t>
            </w:r>
          </w:p>
        </w:tc>
        <w:tc>
          <w:tcPr>
            <w:tcW w:w="700"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60,09</w:t>
            </w:r>
          </w:p>
        </w:tc>
        <w:tc>
          <w:tcPr>
            <w:tcW w:w="700"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77,35</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60,10</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77,56</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61,40</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77,60</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61,40</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77,41</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59,80</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77,66</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61,70</w:t>
            </w:r>
          </w:p>
        </w:tc>
        <w:tc>
          <w:tcPr>
            <w:tcW w:w="810"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77,75</w:t>
            </w:r>
          </w:p>
        </w:tc>
      </w:tr>
      <w:tr w:rsidR="008124F0" w:rsidRPr="008124F0" w:rsidTr="00B36FDB">
        <w:trPr>
          <w:trHeight w:val="425"/>
          <w:jc w:val="center"/>
        </w:trPr>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4"/>
                <w:szCs w:val="24"/>
                <w:lang w:eastAsia="ru-RU"/>
              </w:rPr>
            </w:pPr>
            <w:r w:rsidRPr="008124F0">
              <w:rPr>
                <w:rFonts w:ascii="Times New Roman" w:eastAsia="Times New Roman" w:hAnsi="Times New Roman" w:cs="Times New Roman"/>
                <w:color w:val="000000" w:themeColor="text1"/>
                <w:sz w:val="24"/>
                <w:szCs w:val="24"/>
                <w:lang w:eastAsia="ru-RU"/>
              </w:rPr>
              <w:t>РФ</w:t>
            </w:r>
          </w:p>
        </w:tc>
        <w:tc>
          <w:tcPr>
            <w:tcW w:w="700"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39,14</w:t>
            </w:r>
          </w:p>
        </w:tc>
        <w:tc>
          <w:tcPr>
            <w:tcW w:w="700"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55,81</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39,30</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56,83</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38,50</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56,97</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38,76</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56,72</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37,90</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57,89</w:t>
            </w:r>
          </w:p>
        </w:tc>
        <w:tc>
          <w:tcPr>
            <w:tcW w:w="689"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37,60</w:t>
            </w:r>
          </w:p>
        </w:tc>
        <w:tc>
          <w:tcPr>
            <w:tcW w:w="810" w:type="dxa"/>
            <w:tcBorders>
              <w:top w:val="nil"/>
              <w:left w:val="nil"/>
              <w:bottom w:val="single" w:sz="4" w:space="0" w:color="auto"/>
              <w:right w:val="single" w:sz="4" w:space="0" w:color="auto"/>
            </w:tcBorders>
            <w:shd w:val="clear" w:color="auto" w:fill="auto"/>
            <w:noWrap/>
            <w:vAlign w:val="center"/>
            <w:hideMark/>
          </w:tcPr>
          <w:p w:rsidR="008124F0" w:rsidRPr="008124F0" w:rsidRDefault="008124F0" w:rsidP="008124F0">
            <w:pPr>
              <w:spacing w:after="0" w:line="240" w:lineRule="auto"/>
              <w:jc w:val="center"/>
              <w:rPr>
                <w:rFonts w:ascii="Times New Roman" w:eastAsia="Times New Roman" w:hAnsi="Times New Roman" w:cs="Times New Roman"/>
                <w:color w:val="000000" w:themeColor="text1"/>
                <w:sz w:val="21"/>
                <w:szCs w:val="21"/>
                <w:lang w:eastAsia="ru-RU"/>
              </w:rPr>
            </w:pPr>
            <w:r w:rsidRPr="008124F0">
              <w:rPr>
                <w:rFonts w:ascii="Times New Roman" w:eastAsia="Times New Roman" w:hAnsi="Times New Roman" w:cs="Times New Roman"/>
                <w:color w:val="000000" w:themeColor="text1"/>
                <w:sz w:val="21"/>
                <w:szCs w:val="21"/>
                <w:lang w:eastAsia="ru-RU"/>
              </w:rPr>
              <w:t>57,72</w:t>
            </w:r>
          </w:p>
        </w:tc>
      </w:tr>
    </w:tbl>
    <w:p w:rsidR="008124F0" w:rsidRPr="008124F0" w:rsidRDefault="008124F0" w:rsidP="008124F0">
      <w:pPr>
        <w:spacing w:after="0" w:line="240" w:lineRule="auto"/>
        <w:contextualSpacing/>
        <w:jc w:val="both"/>
        <w:rPr>
          <w:rFonts w:ascii="Times New Roman" w:hAnsi="Times New Roman" w:cs="Times New Roman"/>
          <w:color w:val="000000" w:themeColor="text1"/>
          <w:sz w:val="28"/>
          <w:szCs w:val="28"/>
        </w:rPr>
      </w:pPr>
    </w:p>
    <w:p w:rsidR="008124F0" w:rsidRPr="008124F0" w:rsidRDefault="008124F0" w:rsidP="008124F0">
      <w:pPr>
        <w:spacing w:after="0" w:line="240" w:lineRule="auto"/>
        <w:ind w:firstLine="709"/>
        <w:contextualSpacing/>
        <w:jc w:val="both"/>
        <w:rPr>
          <w:rFonts w:ascii="Times New Roman" w:hAnsi="Times New Roman" w:cs="Times New Roman"/>
          <w:color w:val="000000" w:themeColor="text1"/>
          <w:sz w:val="28"/>
          <w:szCs w:val="28"/>
        </w:rPr>
      </w:pPr>
      <w:r w:rsidRPr="008124F0">
        <w:rPr>
          <w:rFonts w:ascii="Times New Roman" w:hAnsi="Times New Roman" w:cs="Times New Roman"/>
          <w:color w:val="000000" w:themeColor="text1"/>
          <w:sz w:val="28"/>
          <w:szCs w:val="28"/>
        </w:rPr>
        <w:t>Таким образом, показатели Китая демонстрируют взаимозависимость. В анализируемом периоде 2014-2019 гг., при увеличении значения глобального индекса инноваций (в среднем на 1,65 в год), так же увеличивается и индекс процветания (в среднем на 0,50 в год). Данное подтверждает, что в изучаемой стране определенная часть благосостояния общества зависит от уровня инновационного развития экономики.</w:t>
      </w:r>
    </w:p>
    <w:p w:rsidR="008124F0" w:rsidRPr="008124F0" w:rsidRDefault="008124F0" w:rsidP="008124F0">
      <w:pPr>
        <w:spacing w:after="0" w:line="240" w:lineRule="auto"/>
        <w:ind w:firstLine="709"/>
        <w:contextualSpacing/>
        <w:jc w:val="both"/>
        <w:rPr>
          <w:rFonts w:ascii="Times New Roman" w:hAnsi="Times New Roman" w:cs="Times New Roman"/>
          <w:color w:val="000000" w:themeColor="text1"/>
          <w:sz w:val="28"/>
          <w:szCs w:val="28"/>
        </w:rPr>
      </w:pPr>
      <w:r w:rsidRPr="008124F0">
        <w:rPr>
          <w:rFonts w:ascii="Times New Roman" w:hAnsi="Times New Roman" w:cs="Times New Roman"/>
          <w:color w:val="000000" w:themeColor="text1"/>
          <w:sz w:val="28"/>
          <w:szCs w:val="28"/>
        </w:rPr>
        <w:t xml:space="preserve">Подобною взаимосвязь демонстрируют показатели Японии, анализ которых показал, что с ростом значения глобального индекса инноваций (в среднем на 0,46 в год), растет и значение индекса процветания (в среднем на 0,25 в год). Однако, в отличии от Китая, Япония имеет период спада обоих индексов в 2019 г. </w:t>
      </w:r>
    </w:p>
    <w:p w:rsidR="008124F0" w:rsidRPr="008124F0" w:rsidRDefault="008124F0" w:rsidP="008124F0">
      <w:pPr>
        <w:spacing w:after="0" w:line="240" w:lineRule="auto"/>
        <w:ind w:firstLine="709"/>
        <w:contextualSpacing/>
        <w:jc w:val="both"/>
        <w:rPr>
          <w:rFonts w:ascii="Times New Roman" w:hAnsi="Times New Roman" w:cs="Times New Roman"/>
          <w:color w:val="000000" w:themeColor="text1"/>
          <w:sz w:val="28"/>
          <w:szCs w:val="28"/>
        </w:rPr>
      </w:pPr>
      <w:r w:rsidRPr="008124F0">
        <w:rPr>
          <w:rFonts w:ascii="Times New Roman" w:hAnsi="Times New Roman" w:cs="Times New Roman"/>
          <w:color w:val="000000" w:themeColor="text1"/>
          <w:sz w:val="28"/>
          <w:szCs w:val="28"/>
        </w:rPr>
        <w:t xml:space="preserve">В свою очередь, США демонстрирует более высокие показатели индексов, однако их динамика намного ниже, чем у Китая и Японии. Так, динамика глобального индекса инноваций составляет в среднем 0,32 в год, а индекса процветания в среднем 0,08 в год. США так же демонстрирует </w:t>
      </w:r>
      <w:r w:rsidRPr="008124F0">
        <w:rPr>
          <w:rFonts w:ascii="Times New Roman" w:hAnsi="Times New Roman" w:cs="Times New Roman"/>
          <w:color w:val="000000" w:themeColor="text1"/>
          <w:sz w:val="28"/>
          <w:szCs w:val="28"/>
        </w:rPr>
        <w:lastRenderedPageBreak/>
        <w:t xml:space="preserve">зависимость показателей – параллельный рост индексов в 2014-2017 гг., а так же в 2019г. В период 2017-2018 гг. заметно снижение глобального индекса инноваций, что так же отражается на индексе процветания – спад в среднем на 0,8. </w:t>
      </w:r>
    </w:p>
    <w:p w:rsidR="008124F0" w:rsidRPr="008124F0" w:rsidRDefault="008124F0" w:rsidP="008124F0">
      <w:pPr>
        <w:spacing w:after="0" w:line="240" w:lineRule="auto"/>
        <w:ind w:firstLine="709"/>
        <w:contextualSpacing/>
        <w:jc w:val="both"/>
        <w:rPr>
          <w:rFonts w:ascii="Times New Roman" w:hAnsi="Times New Roman" w:cs="Times New Roman"/>
          <w:color w:val="000000" w:themeColor="text1"/>
          <w:sz w:val="28"/>
          <w:szCs w:val="28"/>
        </w:rPr>
      </w:pPr>
      <w:r w:rsidRPr="008124F0">
        <w:rPr>
          <w:rFonts w:ascii="Times New Roman" w:hAnsi="Times New Roman" w:cs="Times New Roman"/>
          <w:color w:val="000000" w:themeColor="text1"/>
          <w:sz w:val="28"/>
          <w:szCs w:val="28"/>
        </w:rPr>
        <w:t>РФ демонстрирует иное положение данных. Значения глобального индекса инноваций имеют периоды спада и роста (в среднем на 0,31 в год), вместе с тем, индекс процветания имеет тенденцию к росту (в среднем на 0,38 в год). Данное объясняется тем, что в состав ИП входит достаточное множество факторов, которые способны влиять на рост показателя, например, здравоохранение, безопасность и др.</w:t>
      </w:r>
    </w:p>
    <w:p w:rsidR="008124F0" w:rsidRPr="008124F0" w:rsidRDefault="008124F0" w:rsidP="008124F0">
      <w:pPr>
        <w:spacing w:after="0" w:line="240" w:lineRule="auto"/>
        <w:ind w:firstLine="709"/>
        <w:contextualSpacing/>
        <w:jc w:val="both"/>
        <w:rPr>
          <w:rFonts w:ascii="Times New Roman" w:hAnsi="Times New Roman" w:cs="Times New Roman"/>
          <w:color w:val="000000" w:themeColor="text1"/>
          <w:sz w:val="28"/>
          <w:szCs w:val="28"/>
        </w:rPr>
      </w:pPr>
      <w:r w:rsidRPr="008124F0">
        <w:rPr>
          <w:rFonts w:ascii="Times New Roman" w:hAnsi="Times New Roman" w:cs="Times New Roman"/>
          <w:color w:val="000000" w:themeColor="text1"/>
          <w:sz w:val="28"/>
          <w:szCs w:val="28"/>
        </w:rPr>
        <w:t xml:space="preserve">Исходя из вышесказанного, можно сделать вывод о зависимости этих двух показателей. Анализ наглядно показал, что для роста индекса процветания, необходим рост глобального индекса инноваций, который в свою очередь зависит от уровня затрат на НИОКР. </w:t>
      </w:r>
    </w:p>
    <w:p w:rsidR="008124F0" w:rsidRPr="008124F0" w:rsidRDefault="008124F0" w:rsidP="008124F0">
      <w:pPr>
        <w:spacing w:after="0" w:line="240" w:lineRule="auto"/>
        <w:ind w:firstLine="709"/>
        <w:contextualSpacing/>
        <w:jc w:val="both"/>
        <w:rPr>
          <w:rFonts w:ascii="Times New Roman" w:hAnsi="Times New Roman" w:cs="Times New Roman"/>
          <w:color w:val="000000" w:themeColor="text1"/>
          <w:sz w:val="28"/>
          <w:szCs w:val="28"/>
        </w:rPr>
      </w:pPr>
      <w:r w:rsidRPr="008124F0">
        <w:rPr>
          <w:rFonts w:ascii="Times New Roman" w:hAnsi="Times New Roman" w:cs="Times New Roman"/>
          <w:b/>
          <w:color w:val="000000" w:themeColor="text1"/>
          <w:sz w:val="28"/>
          <w:szCs w:val="28"/>
        </w:rPr>
        <w:t>Выводы.</w:t>
      </w:r>
      <w:r w:rsidRPr="008124F0">
        <w:rPr>
          <w:rFonts w:ascii="Times New Roman" w:hAnsi="Times New Roman" w:cs="Times New Roman"/>
          <w:color w:val="000000" w:themeColor="text1"/>
          <w:sz w:val="28"/>
          <w:szCs w:val="28"/>
        </w:rPr>
        <w:t xml:space="preserve"> Таким образом, на сегодняшний день сильнейшей и прогрессивной экономикой будет являться та, которая основывается на инновационном развитии. Кроме того, такая стратегия прогресса будет способствовать росту интеллектуального потенциала страны, повышению уровня образованности населения, а так же переходу на новый технологический уклад, что в свою очередь отразится на развитии всего человечества в  целом.</w:t>
      </w:r>
    </w:p>
    <w:tbl>
      <w:tblPr>
        <w:tblW w:w="4918" w:type="pct"/>
        <w:jc w:val="center"/>
        <w:tblLook w:val="04A0" w:firstRow="1" w:lastRow="0" w:firstColumn="1" w:lastColumn="0" w:noHBand="0" w:noVBand="1"/>
      </w:tblPr>
      <w:tblGrid>
        <w:gridCol w:w="552"/>
        <w:gridCol w:w="8862"/>
      </w:tblGrid>
      <w:tr w:rsidR="008124F0" w:rsidRPr="008124F0" w:rsidTr="00B36FDB">
        <w:trPr>
          <w:jc w:val="center"/>
        </w:trPr>
        <w:tc>
          <w:tcPr>
            <w:tcW w:w="5000" w:type="pct"/>
            <w:gridSpan w:val="2"/>
          </w:tcPr>
          <w:p w:rsidR="008124F0" w:rsidRPr="008124F0" w:rsidRDefault="008124F0" w:rsidP="008124F0">
            <w:pPr>
              <w:spacing w:after="0" w:line="240" w:lineRule="auto"/>
              <w:contextualSpacing/>
              <w:rPr>
                <w:rFonts w:ascii="Times New Roman" w:eastAsia="Times New Roman" w:hAnsi="Times New Roman" w:cs="Times New Roman"/>
                <w:color w:val="000000" w:themeColor="text1"/>
                <w:sz w:val="28"/>
              </w:rPr>
            </w:pPr>
          </w:p>
        </w:tc>
      </w:tr>
      <w:tr w:rsidR="008124F0" w:rsidRPr="008124F0" w:rsidTr="00B36FDB">
        <w:trPr>
          <w:jc w:val="center"/>
        </w:trPr>
        <w:tc>
          <w:tcPr>
            <w:tcW w:w="5000" w:type="pct"/>
            <w:gridSpan w:val="2"/>
            <w:hideMark/>
          </w:tcPr>
          <w:p w:rsidR="008124F0" w:rsidRPr="008124F0" w:rsidRDefault="008124F0" w:rsidP="008124F0">
            <w:pPr>
              <w:spacing w:after="0" w:line="240" w:lineRule="auto"/>
              <w:jc w:val="center"/>
              <w:rPr>
                <w:rFonts w:ascii="Times New Roman" w:eastAsia="Times New Roman" w:hAnsi="Times New Roman" w:cs="Times New Roman"/>
                <w:b/>
                <w:color w:val="000000" w:themeColor="text1"/>
                <w:sz w:val="28"/>
              </w:rPr>
            </w:pPr>
            <w:r w:rsidRPr="008124F0">
              <w:rPr>
                <w:rFonts w:ascii="Times New Roman" w:eastAsia="Times New Roman" w:hAnsi="Times New Roman" w:cs="Times New Roman"/>
                <w:b/>
                <w:color w:val="000000" w:themeColor="text1"/>
                <w:sz w:val="28"/>
              </w:rPr>
              <w:t>Список литературы</w:t>
            </w:r>
          </w:p>
        </w:tc>
      </w:tr>
      <w:tr w:rsidR="008124F0" w:rsidRPr="008124F0" w:rsidTr="00B36FDB">
        <w:trPr>
          <w:jc w:val="center"/>
        </w:trPr>
        <w:tc>
          <w:tcPr>
            <w:tcW w:w="293" w:type="pct"/>
          </w:tcPr>
          <w:p w:rsidR="008124F0" w:rsidRPr="008124F0" w:rsidRDefault="008124F0" w:rsidP="008124F0">
            <w:pPr>
              <w:widowControl w:val="0"/>
              <w:numPr>
                <w:ilvl w:val="0"/>
                <w:numId w:val="1"/>
              </w:numPr>
              <w:spacing w:after="0" w:line="240" w:lineRule="auto"/>
              <w:contextualSpacing/>
              <w:jc w:val="both"/>
              <w:rPr>
                <w:rFonts w:ascii="Times New Roman" w:eastAsia="Times New Roman" w:hAnsi="Times New Roman" w:cs="Times New Roman"/>
                <w:color w:val="000000" w:themeColor="text1"/>
                <w:sz w:val="24"/>
                <w:szCs w:val="24"/>
              </w:rPr>
            </w:pPr>
          </w:p>
        </w:tc>
        <w:tc>
          <w:tcPr>
            <w:tcW w:w="4707" w:type="pct"/>
          </w:tcPr>
          <w:p w:rsidR="008124F0" w:rsidRPr="008124F0" w:rsidRDefault="008124F0" w:rsidP="008124F0">
            <w:pPr>
              <w:spacing w:after="0" w:line="240" w:lineRule="auto"/>
              <w:contextualSpacing/>
              <w:jc w:val="both"/>
              <w:rPr>
                <w:rFonts w:ascii="Times New Roman" w:hAnsi="Times New Roman" w:cs="Times New Roman"/>
                <w:color w:val="000000" w:themeColor="text1"/>
                <w:sz w:val="24"/>
                <w:szCs w:val="24"/>
              </w:rPr>
            </w:pPr>
            <w:r w:rsidRPr="008124F0">
              <w:rPr>
                <w:rFonts w:ascii="Times New Roman" w:hAnsi="Times New Roman" w:cs="Times New Roman"/>
                <w:color w:val="000000" w:themeColor="text1"/>
                <w:sz w:val="24"/>
                <w:szCs w:val="24"/>
              </w:rPr>
              <w:t xml:space="preserve">Гуманитарный портал [Электронный ресурс] – Режим доступа: </w:t>
            </w:r>
            <w:hyperlink r:id="rId7" w:history="1">
              <w:r w:rsidRPr="008124F0">
                <w:rPr>
                  <w:rFonts w:ascii="Times New Roman" w:hAnsi="Times New Roman" w:cs="Times New Roman"/>
                  <w:color w:val="000000" w:themeColor="text1"/>
                  <w:sz w:val="24"/>
                  <w:szCs w:val="24"/>
                </w:rPr>
                <w:t>https://gtmarket.ru/ratings/legatum-prosperity-index/info</w:t>
              </w:r>
            </w:hyperlink>
          </w:p>
        </w:tc>
      </w:tr>
      <w:tr w:rsidR="008124F0" w:rsidRPr="008124F0" w:rsidTr="00B36FDB">
        <w:trPr>
          <w:jc w:val="center"/>
        </w:trPr>
        <w:tc>
          <w:tcPr>
            <w:tcW w:w="293" w:type="pct"/>
          </w:tcPr>
          <w:p w:rsidR="008124F0" w:rsidRPr="008124F0" w:rsidRDefault="008124F0" w:rsidP="008124F0">
            <w:pPr>
              <w:widowControl w:val="0"/>
              <w:numPr>
                <w:ilvl w:val="0"/>
                <w:numId w:val="1"/>
              </w:numPr>
              <w:spacing w:after="0" w:line="240" w:lineRule="auto"/>
              <w:contextualSpacing/>
              <w:jc w:val="both"/>
              <w:rPr>
                <w:rFonts w:ascii="Times New Roman" w:eastAsia="Times New Roman" w:hAnsi="Times New Roman" w:cs="Times New Roman"/>
                <w:color w:val="000000" w:themeColor="text1"/>
                <w:sz w:val="24"/>
                <w:szCs w:val="24"/>
              </w:rPr>
            </w:pPr>
          </w:p>
        </w:tc>
        <w:tc>
          <w:tcPr>
            <w:tcW w:w="4707" w:type="pct"/>
          </w:tcPr>
          <w:p w:rsidR="008124F0" w:rsidRPr="008124F0" w:rsidRDefault="008124F0" w:rsidP="008124F0">
            <w:pPr>
              <w:spacing w:after="0" w:line="240" w:lineRule="auto"/>
              <w:contextualSpacing/>
              <w:jc w:val="both"/>
              <w:rPr>
                <w:rFonts w:ascii="Times New Roman" w:hAnsi="Times New Roman" w:cs="Times New Roman"/>
                <w:color w:val="000000" w:themeColor="text1"/>
                <w:sz w:val="24"/>
                <w:szCs w:val="24"/>
              </w:rPr>
            </w:pPr>
            <w:r w:rsidRPr="008124F0">
              <w:rPr>
                <w:rFonts w:ascii="Times New Roman" w:hAnsi="Times New Roman" w:cs="Times New Roman"/>
                <w:color w:val="000000" w:themeColor="text1"/>
                <w:sz w:val="24"/>
                <w:szCs w:val="24"/>
                <w:shd w:val="clear" w:color="auto" w:fill="FFFFFF"/>
                <w:lang w:val="en-US"/>
              </w:rPr>
              <w:t>World</w:t>
            </w:r>
            <w:r w:rsidRPr="008124F0">
              <w:rPr>
                <w:rFonts w:ascii="Times New Roman" w:hAnsi="Times New Roman" w:cs="Times New Roman"/>
                <w:color w:val="000000" w:themeColor="text1"/>
                <w:sz w:val="24"/>
                <w:szCs w:val="24"/>
                <w:shd w:val="clear" w:color="auto" w:fill="FFFFFF"/>
              </w:rPr>
              <w:t xml:space="preserve"> </w:t>
            </w:r>
            <w:r w:rsidRPr="008124F0">
              <w:rPr>
                <w:rFonts w:ascii="Times New Roman" w:hAnsi="Times New Roman" w:cs="Times New Roman"/>
                <w:color w:val="000000" w:themeColor="text1"/>
                <w:sz w:val="24"/>
                <w:szCs w:val="24"/>
                <w:shd w:val="clear" w:color="auto" w:fill="FFFFFF"/>
                <w:lang w:val="en-US"/>
              </w:rPr>
              <w:t>Development</w:t>
            </w:r>
            <w:r w:rsidRPr="008124F0">
              <w:rPr>
                <w:rFonts w:ascii="Times New Roman" w:hAnsi="Times New Roman" w:cs="Times New Roman"/>
                <w:color w:val="000000" w:themeColor="text1"/>
                <w:sz w:val="24"/>
                <w:szCs w:val="24"/>
                <w:shd w:val="clear" w:color="auto" w:fill="FFFFFF"/>
              </w:rPr>
              <w:t xml:space="preserve"> </w:t>
            </w:r>
            <w:r w:rsidRPr="008124F0">
              <w:rPr>
                <w:rFonts w:ascii="Times New Roman" w:hAnsi="Times New Roman" w:cs="Times New Roman"/>
                <w:color w:val="000000" w:themeColor="text1"/>
                <w:sz w:val="24"/>
                <w:szCs w:val="24"/>
                <w:shd w:val="clear" w:color="auto" w:fill="FFFFFF"/>
                <w:lang w:val="en-US"/>
              </w:rPr>
              <w:t>Indicators</w:t>
            </w:r>
            <w:r w:rsidRPr="008124F0">
              <w:rPr>
                <w:rFonts w:ascii="Times New Roman" w:hAnsi="Times New Roman" w:cs="Times New Roman"/>
                <w:color w:val="000000" w:themeColor="text1"/>
                <w:sz w:val="24"/>
                <w:szCs w:val="24"/>
              </w:rPr>
              <w:t xml:space="preserve"> [Электронный ресурс] – Режим доступа: </w:t>
            </w:r>
            <w:hyperlink r:id="rId8" w:history="1">
              <w:r w:rsidRPr="008124F0">
                <w:rPr>
                  <w:rFonts w:ascii="Times New Roman" w:hAnsi="Times New Roman" w:cs="Times New Roman"/>
                  <w:color w:val="000000" w:themeColor="text1"/>
                  <w:sz w:val="24"/>
                  <w:szCs w:val="24"/>
                </w:rPr>
                <w:t>https://knoema.ru/WBWDI2019Jan/world-development-indicators-wdi</w:t>
              </w:r>
            </w:hyperlink>
          </w:p>
        </w:tc>
      </w:tr>
      <w:tr w:rsidR="008124F0" w:rsidRPr="008124F0" w:rsidTr="00B36FDB">
        <w:trPr>
          <w:jc w:val="center"/>
        </w:trPr>
        <w:tc>
          <w:tcPr>
            <w:tcW w:w="293" w:type="pct"/>
          </w:tcPr>
          <w:p w:rsidR="008124F0" w:rsidRPr="008124F0" w:rsidRDefault="008124F0" w:rsidP="008124F0">
            <w:pPr>
              <w:widowControl w:val="0"/>
              <w:numPr>
                <w:ilvl w:val="0"/>
                <w:numId w:val="1"/>
              </w:numPr>
              <w:spacing w:after="0" w:line="240" w:lineRule="auto"/>
              <w:contextualSpacing/>
              <w:jc w:val="both"/>
              <w:rPr>
                <w:rFonts w:ascii="Times New Roman" w:eastAsia="Times New Roman" w:hAnsi="Times New Roman" w:cs="Times New Roman"/>
                <w:color w:val="000000" w:themeColor="text1"/>
                <w:sz w:val="24"/>
                <w:szCs w:val="24"/>
              </w:rPr>
            </w:pPr>
          </w:p>
        </w:tc>
        <w:tc>
          <w:tcPr>
            <w:tcW w:w="4707" w:type="pct"/>
          </w:tcPr>
          <w:p w:rsidR="008124F0" w:rsidRPr="008124F0" w:rsidRDefault="008124F0" w:rsidP="008124F0">
            <w:pPr>
              <w:spacing w:after="0" w:line="240" w:lineRule="auto"/>
              <w:jc w:val="both"/>
              <w:rPr>
                <w:rFonts w:ascii="Times New Roman" w:eastAsiaTheme="minorEastAsia" w:hAnsi="Times New Roman" w:cs="Times New Roman"/>
                <w:color w:val="000000" w:themeColor="text1"/>
                <w:sz w:val="24"/>
                <w:szCs w:val="24"/>
              </w:rPr>
            </w:pPr>
            <w:r w:rsidRPr="008124F0">
              <w:rPr>
                <w:rFonts w:ascii="Times New Roman" w:hAnsi="Times New Roman" w:cs="Times New Roman"/>
                <w:color w:val="000000" w:themeColor="text1"/>
                <w:sz w:val="24"/>
                <w:szCs w:val="24"/>
                <w:shd w:val="clear" w:color="auto" w:fill="FFFFFF"/>
                <w:lang w:val="en-US"/>
              </w:rPr>
              <w:t>The Global</w:t>
            </w:r>
            <w:r w:rsidRPr="008124F0">
              <w:rPr>
                <w:rFonts w:ascii="Times New Roman" w:hAnsi="Times New Roman" w:cs="Times New Roman"/>
                <w:color w:val="000000" w:themeColor="text1"/>
                <w:sz w:val="24"/>
                <w:szCs w:val="24"/>
                <w:shd w:val="clear" w:color="auto" w:fill="FFFFFF"/>
              </w:rPr>
              <w:t xml:space="preserve"> </w:t>
            </w:r>
            <w:r w:rsidRPr="008124F0">
              <w:rPr>
                <w:rFonts w:ascii="Times New Roman" w:hAnsi="Times New Roman" w:cs="Times New Roman"/>
                <w:color w:val="000000" w:themeColor="text1"/>
                <w:sz w:val="24"/>
                <w:szCs w:val="24"/>
                <w:shd w:val="clear" w:color="auto" w:fill="FFFFFF"/>
                <w:lang w:val="en-US"/>
              </w:rPr>
              <w:t>Innovation</w:t>
            </w:r>
            <w:r w:rsidRPr="008124F0">
              <w:rPr>
                <w:rFonts w:ascii="Times New Roman" w:hAnsi="Times New Roman" w:cs="Times New Roman"/>
                <w:color w:val="000000" w:themeColor="text1"/>
                <w:sz w:val="24"/>
                <w:szCs w:val="24"/>
                <w:shd w:val="clear" w:color="auto" w:fill="FFFFFF"/>
              </w:rPr>
              <w:t xml:space="preserve"> </w:t>
            </w:r>
            <w:r w:rsidRPr="008124F0">
              <w:rPr>
                <w:rFonts w:ascii="Times New Roman" w:hAnsi="Times New Roman" w:cs="Times New Roman"/>
                <w:color w:val="000000" w:themeColor="text1"/>
                <w:sz w:val="24"/>
                <w:szCs w:val="24"/>
                <w:shd w:val="clear" w:color="auto" w:fill="FFFFFF"/>
                <w:lang w:val="en-US"/>
              </w:rPr>
              <w:t>Index</w:t>
            </w:r>
            <w:r w:rsidRPr="008124F0">
              <w:rPr>
                <w:rFonts w:ascii="Times New Roman" w:hAnsi="Times New Roman" w:cs="Times New Roman"/>
                <w:color w:val="000000" w:themeColor="text1"/>
                <w:sz w:val="24"/>
                <w:szCs w:val="24"/>
              </w:rPr>
              <w:t xml:space="preserve"> [Электронный ресурс] – Режим доступа: </w:t>
            </w:r>
            <w:hyperlink r:id="rId9" w:history="1">
              <w:r w:rsidRPr="008124F0">
                <w:rPr>
                  <w:rFonts w:ascii="Times New Roman" w:hAnsi="Times New Roman" w:cs="Times New Roman"/>
                  <w:color w:val="000000" w:themeColor="text1"/>
                  <w:sz w:val="24"/>
                  <w:szCs w:val="24"/>
                </w:rPr>
                <w:t>http://www.globalinnovationindex.org/</w:t>
              </w:r>
            </w:hyperlink>
          </w:p>
        </w:tc>
      </w:tr>
    </w:tbl>
    <w:p w:rsidR="00527BFF" w:rsidRDefault="00527BFF">
      <w:bookmarkStart w:id="3" w:name="_GoBack"/>
      <w:bookmarkEnd w:id="3"/>
    </w:p>
    <w:sectPr w:rsidR="0052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18F"/>
    <w:multiLevelType w:val="hybridMultilevel"/>
    <w:tmpl w:val="BADC29BE"/>
    <w:lvl w:ilvl="0" w:tplc="5B9CE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3D5A2B"/>
    <w:multiLevelType w:val="hybridMultilevel"/>
    <w:tmpl w:val="8502105C"/>
    <w:lvl w:ilvl="0" w:tplc="3FD2AFEE">
      <w:start w:val="1"/>
      <w:numFmt w:val="decimal"/>
      <w:lvlText w:val="%1."/>
      <w:lvlJc w:val="left"/>
      <w:pPr>
        <w:ind w:left="78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F0"/>
    <w:rsid w:val="00527BFF"/>
    <w:rsid w:val="00812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4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4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4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ema.ru/WBWDI2019Jan/world-development-indicators-wdi" TargetMode="External"/><Relationship Id="rId3" Type="http://schemas.microsoft.com/office/2007/relationships/stylesWithEffects" Target="stylesWithEffects.xml"/><Relationship Id="rId7" Type="http://schemas.openxmlformats.org/officeDocument/2006/relationships/hyperlink" Target="https://gtmarket.ru/ratings/legatum-prosperity-index/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lobalinnovationindex.org/"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User\Desktop\&#1052;&#1040;&#1043;&#1048;&#1057;&#1058;&#1056;&#1040;&#1058;&#1059;&#1056;&#1040;\&#1053;&#1048;&#1056;&#1057;\&#1044;&#1048;&#1053;&#1040;&#1052;&#1048;&#1050;&#1040;%20&#1057;&#1064;&#1040;,%20&#1050;&#1048;&#1058;&#1040;&#1049;,%20&#1043;&#1045;&#1056;&#1052;&#1040;&#1053;&#1048;&#107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540289625742281"/>
          <c:y val="3.0776215343144488E-2"/>
          <c:w val="0.78048237289419531"/>
          <c:h val="0.63252935488327144"/>
        </c:manualLayout>
      </c:layout>
      <c:barChart>
        <c:barDir val="col"/>
        <c:grouping val="clustered"/>
        <c:varyColors val="0"/>
        <c:ser>
          <c:idx val="1"/>
          <c:order val="0"/>
          <c:tx>
            <c:strRef>
              <c:f>Лист1!$B$1</c:f>
              <c:strCache>
                <c:ptCount val="1"/>
                <c:pt idx="0">
                  <c:v>ВВП США, млрд. долл. США</c:v>
                </c:pt>
              </c:strCache>
            </c:strRef>
          </c:tx>
          <c:spPr>
            <a:pattFill prst="dkUpDiag">
              <a:fgClr>
                <a:schemeClr val="tx1"/>
              </a:fgClr>
              <a:bgClr>
                <a:schemeClr val="bg1"/>
              </a:bgClr>
            </a:pattFill>
            <a:ln>
              <a:solidFill>
                <a:sysClr val="windowText" lastClr="000000"/>
              </a:solidFill>
            </a:ln>
          </c:spPr>
          <c:invertIfNegative val="0"/>
          <c:cat>
            <c:numRef>
              <c:f>Лист1!$A$2:$A$6</c:f>
              <c:numCache>
                <c:formatCode>General</c:formatCode>
                <c:ptCount val="5"/>
                <c:pt idx="0">
                  <c:v>2014</c:v>
                </c:pt>
                <c:pt idx="1">
                  <c:v>2015</c:v>
                </c:pt>
                <c:pt idx="2">
                  <c:v>2016</c:v>
                </c:pt>
                <c:pt idx="3">
                  <c:v>2017</c:v>
                </c:pt>
                <c:pt idx="4">
                  <c:v>2018</c:v>
                </c:pt>
              </c:numCache>
            </c:numRef>
          </c:cat>
          <c:val>
            <c:numRef>
              <c:f>Лист1!$B$2:$B$7</c:f>
              <c:numCache>
                <c:formatCode>0.00</c:formatCode>
                <c:ptCount val="6"/>
                <c:pt idx="0">
                  <c:v>17427.599999999991</c:v>
                </c:pt>
                <c:pt idx="1">
                  <c:v>18120.7</c:v>
                </c:pt>
                <c:pt idx="2">
                  <c:v>18624.5</c:v>
                </c:pt>
                <c:pt idx="3">
                  <c:v>19390.599999999991</c:v>
                </c:pt>
                <c:pt idx="4">
                  <c:v>20412.8</c:v>
                </c:pt>
                <c:pt idx="5">
                  <c:v>21344.6</c:v>
                </c:pt>
              </c:numCache>
            </c:numRef>
          </c:val>
          <c:extLst xmlns:c16r2="http://schemas.microsoft.com/office/drawing/2015/06/chart">
            <c:ext xmlns:c16="http://schemas.microsoft.com/office/drawing/2014/chart" uri="{C3380CC4-5D6E-409C-BE32-E72D297353CC}">
              <c16:uniqueId val="{00000000-F934-44D8-ABB6-710E96D48DD0}"/>
            </c:ext>
          </c:extLst>
        </c:ser>
        <c:ser>
          <c:idx val="2"/>
          <c:order val="1"/>
          <c:tx>
            <c:strRef>
              <c:f>Лист1!$C$1</c:f>
              <c:strCache>
                <c:ptCount val="1"/>
                <c:pt idx="0">
                  <c:v>ВВП Китая, млрд. долл. США</c:v>
                </c:pt>
              </c:strCache>
            </c:strRef>
          </c:tx>
          <c:spPr>
            <a:pattFill prst="pct50">
              <a:fgClr>
                <a:schemeClr val="tx1"/>
              </a:fgClr>
              <a:bgClr>
                <a:schemeClr val="bg1"/>
              </a:bgClr>
            </a:pattFill>
            <a:ln>
              <a:solidFill>
                <a:sysClr val="windowText" lastClr="000000"/>
              </a:solidFill>
            </a:ln>
          </c:spPr>
          <c:invertIfNegative val="0"/>
          <c:cat>
            <c:numRef>
              <c:f>Лист1!$A$2:$A$6</c:f>
              <c:numCache>
                <c:formatCode>General</c:formatCode>
                <c:ptCount val="5"/>
                <c:pt idx="0">
                  <c:v>2014</c:v>
                </c:pt>
                <c:pt idx="1">
                  <c:v>2015</c:v>
                </c:pt>
                <c:pt idx="2">
                  <c:v>2016</c:v>
                </c:pt>
                <c:pt idx="3">
                  <c:v>2017</c:v>
                </c:pt>
                <c:pt idx="4">
                  <c:v>2018</c:v>
                </c:pt>
              </c:numCache>
            </c:numRef>
          </c:cat>
          <c:val>
            <c:numRef>
              <c:f>Лист1!$C$2:$C$7</c:f>
              <c:numCache>
                <c:formatCode>0.00</c:formatCode>
                <c:ptCount val="6"/>
                <c:pt idx="0">
                  <c:v>10535</c:v>
                </c:pt>
                <c:pt idx="1">
                  <c:v>11227</c:v>
                </c:pt>
                <c:pt idx="2">
                  <c:v>11222</c:v>
                </c:pt>
                <c:pt idx="3">
                  <c:v>12015.1</c:v>
                </c:pt>
                <c:pt idx="4">
                  <c:v>14093</c:v>
                </c:pt>
                <c:pt idx="5">
                  <c:v>14216.5</c:v>
                </c:pt>
              </c:numCache>
            </c:numRef>
          </c:val>
          <c:extLst xmlns:c16r2="http://schemas.microsoft.com/office/drawing/2015/06/chart">
            <c:ext xmlns:c16="http://schemas.microsoft.com/office/drawing/2014/chart" uri="{C3380CC4-5D6E-409C-BE32-E72D297353CC}">
              <c16:uniqueId val="{00000001-F934-44D8-ABB6-710E96D48DD0}"/>
            </c:ext>
          </c:extLst>
        </c:ser>
        <c:ser>
          <c:idx val="3"/>
          <c:order val="2"/>
          <c:tx>
            <c:strRef>
              <c:f>Лист1!$D$1</c:f>
              <c:strCache>
                <c:ptCount val="1"/>
                <c:pt idx="0">
                  <c:v>ВВП Японии, млрд. долл. США</c:v>
                </c:pt>
              </c:strCache>
            </c:strRef>
          </c:tx>
          <c:spPr>
            <a:pattFill prst="ltVert">
              <a:fgClr>
                <a:schemeClr val="tx1"/>
              </a:fgClr>
              <a:bgClr>
                <a:schemeClr val="bg1"/>
              </a:bgClr>
            </a:pattFill>
            <a:ln>
              <a:solidFill>
                <a:sysClr val="windowText" lastClr="000000"/>
              </a:solidFill>
            </a:ln>
          </c:spPr>
          <c:invertIfNegative val="0"/>
          <c:cat>
            <c:numRef>
              <c:f>Лист1!$A$2:$A$6</c:f>
              <c:numCache>
                <c:formatCode>General</c:formatCode>
                <c:ptCount val="5"/>
                <c:pt idx="0">
                  <c:v>2014</c:v>
                </c:pt>
                <c:pt idx="1">
                  <c:v>2015</c:v>
                </c:pt>
                <c:pt idx="2">
                  <c:v>2016</c:v>
                </c:pt>
                <c:pt idx="3">
                  <c:v>2017</c:v>
                </c:pt>
                <c:pt idx="4">
                  <c:v>2018</c:v>
                </c:pt>
              </c:numCache>
            </c:numRef>
          </c:cat>
          <c:val>
            <c:numRef>
              <c:f>Лист1!$D$2:$D$7</c:f>
              <c:numCache>
                <c:formatCode>0.00</c:formatCode>
                <c:ptCount val="6"/>
                <c:pt idx="0">
                  <c:v>4850.41</c:v>
                </c:pt>
                <c:pt idx="1">
                  <c:v>4389.4800000000005</c:v>
                </c:pt>
                <c:pt idx="2">
                  <c:v>4926.67</c:v>
                </c:pt>
                <c:pt idx="3">
                  <c:v>4859.79</c:v>
                </c:pt>
                <c:pt idx="4">
                  <c:v>4971.7700000000013</c:v>
                </c:pt>
                <c:pt idx="5">
                  <c:v>5176.2</c:v>
                </c:pt>
              </c:numCache>
            </c:numRef>
          </c:val>
          <c:extLst xmlns:c16r2="http://schemas.microsoft.com/office/drawing/2015/06/chart">
            <c:ext xmlns:c16="http://schemas.microsoft.com/office/drawing/2014/chart" uri="{C3380CC4-5D6E-409C-BE32-E72D297353CC}">
              <c16:uniqueId val="{00000002-F934-44D8-ABB6-710E96D48DD0}"/>
            </c:ext>
          </c:extLst>
        </c:ser>
        <c:ser>
          <c:idx val="6"/>
          <c:order val="6"/>
          <c:tx>
            <c:strRef>
              <c:f>Лист1!$H$1</c:f>
              <c:strCache>
                <c:ptCount val="1"/>
                <c:pt idx="0">
                  <c:v>ВВП России, млрд. долл. США</c:v>
                </c:pt>
              </c:strCache>
            </c:strRef>
          </c:tx>
          <c:spPr>
            <a:pattFill prst="dashHorz">
              <a:fgClr>
                <a:schemeClr val="tx1"/>
              </a:fgClr>
              <a:bgClr>
                <a:schemeClr val="bg1"/>
              </a:bgClr>
            </a:pattFill>
            <a:ln>
              <a:solidFill>
                <a:schemeClr val="tx1"/>
              </a:solidFill>
            </a:ln>
          </c:spPr>
          <c:invertIfNegative val="0"/>
          <c:cat>
            <c:numRef>
              <c:f>Лист1!$A$2:$A$7</c:f>
              <c:numCache>
                <c:formatCode>General</c:formatCode>
                <c:ptCount val="6"/>
                <c:pt idx="0">
                  <c:v>2014</c:v>
                </c:pt>
                <c:pt idx="1">
                  <c:v>2015</c:v>
                </c:pt>
                <c:pt idx="2">
                  <c:v>2016</c:v>
                </c:pt>
                <c:pt idx="3">
                  <c:v>2017</c:v>
                </c:pt>
                <c:pt idx="4">
                  <c:v>2018</c:v>
                </c:pt>
                <c:pt idx="5">
                  <c:v>2019</c:v>
                </c:pt>
              </c:numCache>
            </c:numRef>
          </c:cat>
          <c:val>
            <c:numRef>
              <c:f>Лист1!$H$2:$H$7</c:f>
              <c:numCache>
                <c:formatCode>General</c:formatCode>
                <c:ptCount val="6"/>
                <c:pt idx="0">
                  <c:v>2058.3100000000009</c:v>
                </c:pt>
                <c:pt idx="1">
                  <c:v>1356.84</c:v>
                </c:pt>
                <c:pt idx="2">
                  <c:v>1280.52</c:v>
                </c:pt>
                <c:pt idx="3">
                  <c:v>1579.29</c:v>
                </c:pt>
                <c:pt idx="4">
                  <c:v>1657.29</c:v>
                </c:pt>
                <c:pt idx="5">
                  <c:v>1610.3799999999999</c:v>
                </c:pt>
              </c:numCache>
            </c:numRef>
          </c:val>
          <c:extLst xmlns:c16r2="http://schemas.microsoft.com/office/drawing/2015/06/chart">
            <c:ext xmlns:c16="http://schemas.microsoft.com/office/drawing/2014/chart" uri="{C3380CC4-5D6E-409C-BE32-E72D297353CC}">
              <c16:uniqueId val="{00000003-F934-44D8-ABB6-710E96D48DD0}"/>
            </c:ext>
          </c:extLst>
        </c:ser>
        <c:dLbls>
          <c:showLegendKey val="0"/>
          <c:showVal val="0"/>
          <c:showCatName val="0"/>
          <c:showSerName val="0"/>
          <c:showPercent val="0"/>
          <c:showBubbleSize val="0"/>
        </c:dLbls>
        <c:gapWidth val="150"/>
        <c:axId val="425217024"/>
        <c:axId val="431004992"/>
      </c:barChart>
      <c:lineChart>
        <c:grouping val="standard"/>
        <c:varyColors val="0"/>
        <c:ser>
          <c:idx val="0"/>
          <c:order val="3"/>
          <c:tx>
            <c:strRef>
              <c:f>Лист1!$E$1</c:f>
              <c:strCache>
                <c:ptCount val="1"/>
                <c:pt idx="0">
                  <c:v>Затраты на НИОКР США, % ВВП</c:v>
                </c:pt>
              </c:strCache>
            </c:strRef>
          </c:tx>
          <c:spPr>
            <a:ln w="25400">
              <a:solidFill>
                <a:schemeClr val="tx1"/>
              </a:solidFill>
              <a:prstDash val="sysDot"/>
            </a:ln>
          </c:spPr>
          <c:marker>
            <c:symbol val="triangle"/>
            <c:size val="9"/>
            <c:spPr>
              <a:pattFill prst="pct5">
                <a:fgClr>
                  <a:schemeClr val="tx1"/>
                </a:fgClr>
                <a:bgClr>
                  <a:schemeClr val="tx1"/>
                </a:bgClr>
              </a:pattFill>
            </c:spPr>
          </c:marker>
          <c:cat>
            <c:numRef>
              <c:f>Лист1!$A$2:$A$7</c:f>
              <c:numCache>
                <c:formatCode>General</c:formatCode>
                <c:ptCount val="6"/>
                <c:pt idx="0">
                  <c:v>2014</c:v>
                </c:pt>
                <c:pt idx="1">
                  <c:v>2015</c:v>
                </c:pt>
                <c:pt idx="2">
                  <c:v>2016</c:v>
                </c:pt>
                <c:pt idx="3">
                  <c:v>2017</c:v>
                </c:pt>
                <c:pt idx="4">
                  <c:v>2018</c:v>
                </c:pt>
                <c:pt idx="5">
                  <c:v>2019</c:v>
                </c:pt>
              </c:numCache>
            </c:numRef>
          </c:cat>
          <c:val>
            <c:numRef>
              <c:f>Лист1!$E$2:$E$7</c:f>
              <c:numCache>
                <c:formatCode>General</c:formatCode>
                <c:ptCount val="6"/>
                <c:pt idx="0">
                  <c:v>2.75</c:v>
                </c:pt>
                <c:pt idx="1">
                  <c:v>2.7600000000000002</c:v>
                </c:pt>
                <c:pt idx="2">
                  <c:v>2.77</c:v>
                </c:pt>
                <c:pt idx="3">
                  <c:v>2.79</c:v>
                </c:pt>
                <c:pt idx="4">
                  <c:v>2.8</c:v>
                </c:pt>
                <c:pt idx="5">
                  <c:v>2.9</c:v>
                </c:pt>
              </c:numCache>
            </c:numRef>
          </c:val>
          <c:smooth val="0"/>
          <c:extLst xmlns:c16r2="http://schemas.microsoft.com/office/drawing/2015/06/chart">
            <c:ext xmlns:c16="http://schemas.microsoft.com/office/drawing/2014/chart" uri="{C3380CC4-5D6E-409C-BE32-E72D297353CC}">
              <c16:uniqueId val="{00000004-F934-44D8-ABB6-710E96D48DD0}"/>
            </c:ext>
          </c:extLst>
        </c:ser>
        <c:ser>
          <c:idx val="4"/>
          <c:order val="4"/>
          <c:tx>
            <c:strRef>
              <c:f>Лист1!$F$1</c:f>
              <c:strCache>
                <c:ptCount val="1"/>
                <c:pt idx="0">
                  <c:v>Затраты на НИОКР Китая, % ВВП</c:v>
                </c:pt>
              </c:strCache>
            </c:strRef>
          </c:tx>
          <c:spPr>
            <a:ln w="25400">
              <a:solidFill>
                <a:schemeClr val="tx1"/>
              </a:solidFill>
              <a:prstDash val="dash"/>
            </a:ln>
          </c:spPr>
          <c:marker>
            <c:symbol val="circle"/>
            <c:size val="7"/>
            <c:spPr>
              <a:pattFill prst="pct5">
                <a:fgClr>
                  <a:schemeClr val="tx1"/>
                </a:fgClr>
                <a:bgClr>
                  <a:schemeClr val="tx1"/>
                </a:bgClr>
              </a:pattFill>
            </c:spPr>
          </c:marker>
          <c:cat>
            <c:numRef>
              <c:f>Лист1!$A$2:$A$7</c:f>
              <c:numCache>
                <c:formatCode>General</c:formatCode>
                <c:ptCount val="6"/>
                <c:pt idx="0">
                  <c:v>2014</c:v>
                </c:pt>
                <c:pt idx="1">
                  <c:v>2015</c:v>
                </c:pt>
                <c:pt idx="2">
                  <c:v>2016</c:v>
                </c:pt>
                <c:pt idx="3">
                  <c:v>2017</c:v>
                </c:pt>
                <c:pt idx="4">
                  <c:v>2018</c:v>
                </c:pt>
                <c:pt idx="5">
                  <c:v>2019</c:v>
                </c:pt>
              </c:numCache>
            </c:numRef>
          </c:cat>
          <c:val>
            <c:numRef>
              <c:f>Лист1!$F$2:$F$7</c:f>
              <c:numCache>
                <c:formatCode>General</c:formatCode>
                <c:ptCount val="6"/>
                <c:pt idx="0">
                  <c:v>1.56</c:v>
                </c:pt>
                <c:pt idx="1">
                  <c:v>1.7600000000000002</c:v>
                </c:pt>
                <c:pt idx="2">
                  <c:v>2.4499999999999997</c:v>
                </c:pt>
                <c:pt idx="3">
                  <c:v>3.02</c:v>
                </c:pt>
                <c:pt idx="4">
                  <c:v>3.63</c:v>
                </c:pt>
                <c:pt idx="5">
                  <c:v>3.82</c:v>
                </c:pt>
              </c:numCache>
            </c:numRef>
          </c:val>
          <c:smooth val="0"/>
          <c:extLst xmlns:c16r2="http://schemas.microsoft.com/office/drawing/2015/06/chart">
            <c:ext xmlns:c16="http://schemas.microsoft.com/office/drawing/2014/chart" uri="{C3380CC4-5D6E-409C-BE32-E72D297353CC}">
              <c16:uniqueId val="{00000005-F934-44D8-ABB6-710E96D48DD0}"/>
            </c:ext>
          </c:extLst>
        </c:ser>
        <c:ser>
          <c:idx val="5"/>
          <c:order val="5"/>
          <c:tx>
            <c:strRef>
              <c:f>Лист1!$G$1</c:f>
              <c:strCache>
                <c:ptCount val="1"/>
                <c:pt idx="0">
                  <c:v>Затраты на НИОКР Японии, % ВВП</c:v>
                </c:pt>
              </c:strCache>
            </c:strRef>
          </c:tx>
          <c:spPr>
            <a:ln w="25400">
              <a:solidFill>
                <a:schemeClr val="tx1"/>
              </a:solidFill>
            </a:ln>
          </c:spPr>
          <c:marker>
            <c:symbol val="diamond"/>
            <c:size val="9"/>
            <c:spPr>
              <a:pattFill prst="pct5">
                <a:fgClr>
                  <a:schemeClr val="tx1"/>
                </a:fgClr>
                <a:bgClr>
                  <a:schemeClr val="tx1"/>
                </a:bgClr>
              </a:pattFill>
            </c:spPr>
          </c:marker>
          <c:cat>
            <c:numRef>
              <c:f>Лист1!$A$2:$A$7</c:f>
              <c:numCache>
                <c:formatCode>General</c:formatCode>
                <c:ptCount val="6"/>
                <c:pt idx="0">
                  <c:v>2014</c:v>
                </c:pt>
                <c:pt idx="1">
                  <c:v>2015</c:v>
                </c:pt>
                <c:pt idx="2">
                  <c:v>2016</c:v>
                </c:pt>
                <c:pt idx="3">
                  <c:v>2017</c:v>
                </c:pt>
                <c:pt idx="4">
                  <c:v>2018</c:v>
                </c:pt>
                <c:pt idx="5">
                  <c:v>2019</c:v>
                </c:pt>
              </c:numCache>
            </c:numRef>
          </c:cat>
          <c:val>
            <c:numRef>
              <c:f>Лист1!$G$2:$G$7</c:f>
              <c:numCache>
                <c:formatCode>General</c:formatCode>
                <c:ptCount val="6"/>
                <c:pt idx="0">
                  <c:v>3.4</c:v>
                </c:pt>
                <c:pt idx="1">
                  <c:v>3.3</c:v>
                </c:pt>
                <c:pt idx="2">
                  <c:v>3.1</c:v>
                </c:pt>
                <c:pt idx="3">
                  <c:v>3.2</c:v>
                </c:pt>
                <c:pt idx="4">
                  <c:v>3.4</c:v>
                </c:pt>
                <c:pt idx="5">
                  <c:v>3.5</c:v>
                </c:pt>
              </c:numCache>
            </c:numRef>
          </c:val>
          <c:smooth val="0"/>
          <c:extLst xmlns:c16r2="http://schemas.microsoft.com/office/drawing/2015/06/chart">
            <c:ext xmlns:c16="http://schemas.microsoft.com/office/drawing/2014/chart" uri="{C3380CC4-5D6E-409C-BE32-E72D297353CC}">
              <c16:uniqueId val="{00000006-F934-44D8-ABB6-710E96D48DD0}"/>
            </c:ext>
          </c:extLst>
        </c:ser>
        <c:ser>
          <c:idx val="7"/>
          <c:order val="7"/>
          <c:tx>
            <c:strRef>
              <c:f>Лист1!$I$1</c:f>
              <c:strCache>
                <c:ptCount val="1"/>
                <c:pt idx="0">
                  <c:v>Затраты на НИОКР в России, % ВВП</c:v>
                </c:pt>
              </c:strCache>
            </c:strRef>
          </c:tx>
          <c:spPr>
            <a:ln w="25400">
              <a:solidFill>
                <a:schemeClr val="tx1"/>
              </a:solidFill>
              <a:prstDash val="lgDash"/>
            </a:ln>
          </c:spPr>
          <c:marker>
            <c:symbol val="square"/>
            <c:size val="7"/>
            <c:spPr>
              <a:solidFill>
                <a:schemeClr val="tx1"/>
              </a:solidFill>
            </c:spPr>
          </c:marker>
          <c:cat>
            <c:numRef>
              <c:f>Лист1!$A$2:$A$7</c:f>
              <c:numCache>
                <c:formatCode>General</c:formatCode>
                <c:ptCount val="6"/>
                <c:pt idx="0">
                  <c:v>2014</c:v>
                </c:pt>
                <c:pt idx="1">
                  <c:v>2015</c:v>
                </c:pt>
                <c:pt idx="2">
                  <c:v>2016</c:v>
                </c:pt>
                <c:pt idx="3">
                  <c:v>2017</c:v>
                </c:pt>
                <c:pt idx="4">
                  <c:v>2018</c:v>
                </c:pt>
                <c:pt idx="5">
                  <c:v>2019</c:v>
                </c:pt>
              </c:numCache>
            </c:numRef>
          </c:cat>
          <c:val>
            <c:numRef>
              <c:f>Лист1!$I$2:$I$7</c:f>
              <c:numCache>
                <c:formatCode>General</c:formatCode>
                <c:ptCount val="6"/>
                <c:pt idx="0">
                  <c:v>1.1080000000000001</c:v>
                </c:pt>
                <c:pt idx="1">
                  <c:v>1.1499999999999995</c:v>
                </c:pt>
                <c:pt idx="2">
                  <c:v>1.1100000000000001</c:v>
                </c:pt>
                <c:pt idx="3">
                  <c:v>1.1299999999999994</c:v>
                </c:pt>
                <c:pt idx="4">
                  <c:v>1.1800000000000004</c:v>
                </c:pt>
                <c:pt idx="5">
                  <c:v>1.1599999999999995</c:v>
                </c:pt>
              </c:numCache>
            </c:numRef>
          </c:val>
          <c:smooth val="0"/>
          <c:extLst xmlns:c16r2="http://schemas.microsoft.com/office/drawing/2015/06/chart">
            <c:ext xmlns:c16="http://schemas.microsoft.com/office/drawing/2014/chart" uri="{C3380CC4-5D6E-409C-BE32-E72D297353CC}">
              <c16:uniqueId val="{00000007-F934-44D8-ABB6-710E96D48DD0}"/>
            </c:ext>
          </c:extLst>
        </c:ser>
        <c:dLbls>
          <c:showLegendKey val="0"/>
          <c:showVal val="0"/>
          <c:showCatName val="0"/>
          <c:showSerName val="0"/>
          <c:showPercent val="0"/>
          <c:showBubbleSize val="0"/>
        </c:dLbls>
        <c:marker val="1"/>
        <c:smooth val="0"/>
        <c:axId val="425933312"/>
        <c:axId val="436033728"/>
      </c:lineChart>
      <c:catAx>
        <c:axId val="425217024"/>
        <c:scaling>
          <c:orientation val="minMax"/>
        </c:scaling>
        <c:delete val="0"/>
        <c:axPos val="b"/>
        <c:title>
          <c:tx>
            <c:rich>
              <a:bodyPr/>
              <a:lstStyle/>
              <a:p>
                <a:pPr>
                  <a:defRPr b="0"/>
                </a:pPr>
                <a:r>
                  <a:rPr lang="ru-RU" b="0"/>
                  <a:t>Годы</a:t>
                </a:r>
              </a:p>
            </c:rich>
          </c:tx>
          <c:overlay val="0"/>
        </c:title>
        <c:numFmt formatCode="General" sourceLinked="1"/>
        <c:majorTickMark val="out"/>
        <c:minorTickMark val="none"/>
        <c:tickLblPos val="nextTo"/>
        <c:crossAx val="431004992"/>
        <c:crosses val="autoZero"/>
        <c:auto val="1"/>
        <c:lblAlgn val="ctr"/>
        <c:lblOffset val="100"/>
        <c:noMultiLvlLbl val="0"/>
      </c:catAx>
      <c:valAx>
        <c:axId val="431004992"/>
        <c:scaling>
          <c:orientation val="minMax"/>
        </c:scaling>
        <c:delete val="0"/>
        <c:axPos val="l"/>
        <c:majorGridlines/>
        <c:title>
          <c:tx>
            <c:rich>
              <a:bodyPr rot="-5400000" vert="horz"/>
              <a:lstStyle/>
              <a:p>
                <a:pPr>
                  <a:defRPr b="0"/>
                </a:pPr>
                <a:r>
                  <a:rPr lang="ru-RU" b="0"/>
                  <a:t>ВВП, млрд. долл. США</a:t>
                </a:r>
              </a:p>
            </c:rich>
          </c:tx>
          <c:layout>
            <c:manualLayout>
              <c:xMode val="edge"/>
              <c:yMode val="edge"/>
              <c:x val="1.0046682032242399E-2"/>
              <c:y val="0.27538296817965324"/>
            </c:manualLayout>
          </c:layout>
          <c:overlay val="0"/>
        </c:title>
        <c:numFmt formatCode="0.00" sourceLinked="1"/>
        <c:majorTickMark val="out"/>
        <c:minorTickMark val="none"/>
        <c:tickLblPos val="nextTo"/>
        <c:crossAx val="425217024"/>
        <c:crosses val="autoZero"/>
        <c:crossBetween val="between"/>
      </c:valAx>
      <c:valAx>
        <c:axId val="436033728"/>
        <c:scaling>
          <c:orientation val="minMax"/>
        </c:scaling>
        <c:delete val="0"/>
        <c:axPos val="r"/>
        <c:title>
          <c:tx>
            <c:rich>
              <a:bodyPr rot="-5400000" vert="horz"/>
              <a:lstStyle/>
              <a:p>
                <a:pPr>
                  <a:defRPr b="0"/>
                </a:pPr>
                <a:r>
                  <a:rPr lang="ru-RU" b="0"/>
                  <a:t>Затраты</a:t>
                </a:r>
                <a:r>
                  <a:rPr lang="ru-RU" b="0" baseline="0"/>
                  <a:t> на НИОКР</a:t>
                </a:r>
                <a:r>
                  <a:rPr lang="ru-RU" b="0"/>
                  <a:t>, % ВВП</a:t>
                </a:r>
              </a:p>
            </c:rich>
          </c:tx>
          <c:overlay val="0"/>
        </c:title>
        <c:numFmt formatCode="General" sourceLinked="1"/>
        <c:majorTickMark val="out"/>
        <c:minorTickMark val="none"/>
        <c:tickLblPos val="nextTo"/>
        <c:crossAx val="425933312"/>
        <c:crosses val="max"/>
        <c:crossBetween val="between"/>
      </c:valAx>
      <c:catAx>
        <c:axId val="425933312"/>
        <c:scaling>
          <c:orientation val="minMax"/>
        </c:scaling>
        <c:delete val="1"/>
        <c:axPos val="b"/>
        <c:numFmt formatCode="General" sourceLinked="1"/>
        <c:majorTickMark val="out"/>
        <c:minorTickMark val="none"/>
        <c:tickLblPos val="none"/>
        <c:crossAx val="436033728"/>
        <c:crosses val="autoZero"/>
        <c:auto val="1"/>
        <c:lblAlgn val="ctr"/>
        <c:lblOffset val="100"/>
        <c:noMultiLvlLbl val="0"/>
      </c:catAx>
    </c:plotArea>
    <c:legend>
      <c:legendPos val="r"/>
      <c:layout>
        <c:manualLayout>
          <c:xMode val="edge"/>
          <c:yMode val="edge"/>
          <c:x val="4.5561386601127025E-2"/>
          <c:y val="0.7671631971680547"/>
          <c:w val="0.95281647486371901"/>
          <c:h val="0.2322181574136867"/>
        </c:manualLayout>
      </c:layout>
      <c:overlay val="0"/>
    </c:legend>
    <c:plotVisOnly val="1"/>
    <c:dispBlanksAs val="gap"/>
    <c:showDLblsOverMax val="0"/>
  </c:chart>
  <c:spPr>
    <a:ln>
      <a:noFill/>
    </a:ln>
  </c:spPr>
  <c:txPr>
    <a:bodyPr/>
    <a:lstStyle/>
    <a:p>
      <a:pPr>
        <a:defRPr baseline="0">
          <a:latin typeface="Times New Roman" panose="02020603050405020304" pitchFamily="18" charset="0"/>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0.82372</cdr:x>
      <cdr:y>0.67225</cdr:y>
    </cdr:from>
    <cdr:to>
      <cdr:x>0.91026</cdr:x>
      <cdr:y>0.73206</cdr:y>
    </cdr:to>
    <cdr:sp macro="" textlink="">
      <cdr:nvSpPr>
        <cdr:cNvPr id="2" name="Поле 1"/>
        <cdr:cNvSpPr txBox="1"/>
      </cdr:nvSpPr>
      <cdr:spPr>
        <a:xfrm xmlns:a="http://schemas.openxmlformats.org/drawingml/2006/main">
          <a:off x="4895850" y="2676525"/>
          <a:ext cx="5143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latin typeface="Times New Roman" panose="02020603050405020304" pitchFamily="18" charset="0"/>
              <a:cs typeface="Times New Roman" panose="02020603050405020304" pitchFamily="18" charset="0"/>
            </a:rPr>
            <a:t>2019</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5</Pages>
  <Words>1442</Words>
  <Characters>8225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2020-06-15T14:47:00Z</dcterms:created>
  <dcterms:modified xsi:type="dcterms:W3CDTF">2020-06-15T15:16:00Z</dcterms:modified>
</cp:coreProperties>
</file>