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107"/>
      </w:tblGrid>
      <w:tr w:rsidR="00BF7A8D" w:rsidRPr="00BF7A8D" w:rsidTr="00665C78">
        <w:trPr>
          <w:jc w:val="center"/>
        </w:trPr>
        <w:tc>
          <w:tcPr>
            <w:tcW w:w="4320" w:type="dxa"/>
          </w:tcPr>
          <w:p w:rsidR="00BF7A8D" w:rsidRPr="00BF7A8D" w:rsidRDefault="00BF7A8D" w:rsidP="00BF7A8D">
            <w:pPr>
              <w:tabs>
                <w:tab w:val="left" w:pos="1418"/>
              </w:tabs>
              <w:jc w:val="both"/>
            </w:pPr>
            <w:r w:rsidRPr="00BF7A8D">
              <w:rPr>
                <w:rFonts w:eastAsia="Times New Roman"/>
                <w:b/>
                <w:bCs/>
                <w:lang w:eastAsia="ru-RU"/>
              </w:rPr>
              <w:t>УДК 338.984</w:t>
            </w: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BF7A8D" w:rsidRPr="00BF7A8D" w:rsidRDefault="00BF7A8D" w:rsidP="00BF7A8D">
            <w:pPr>
              <w:widowControl w:val="0"/>
              <w:shd w:val="clear" w:color="auto" w:fill="FFFFFF"/>
              <w:jc w:val="both"/>
            </w:pPr>
          </w:p>
        </w:tc>
      </w:tr>
      <w:tr w:rsidR="00BF7A8D" w:rsidRPr="00BF7A8D" w:rsidTr="00665C78">
        <w:trPr>
          <w:jc w:val="center"/>
        </w:trPr>
        <w:tc>
          <w:tcPr>
            <w:tcW w:w="4320" w:type="dxa"/>
          </w:tcPr>
          <w:p w:rsidR="00BF7A8D" w:rsidRPr="00BF7A8D" w:rsidRDefault="00BF7A8D" w:rsidP="00BF7A8D">
            <w:pPr>
              <w:jc w:val="both"/>
            </w:pPr>
          </w:p>
        </w:tc>
        <w:tc>
          <w:tcPr>
            <w:tcW w:w="5246" w:type="dxa"/>
          </w:tcPr>
          <w:p w:rsidR="00BF7A8D" w:rsidRPr="00BF7A8D" w:rsidRDefault="00BF7A8D" w:rsidP="00BF7A8D">
            <w:pPr>
              <w:autoSpaceDE w:val="0"/>
              <w:autoSpaceDN w:val="0"/>
              <w:adjustRightInd w:val="0"/>
              <w:jc w:val="both"/>
            </w:pPr>
            <w:bookmarkStart w:id="0" w:name="_Toc9105789"/>
            <w:r w:rsidRPr="00BF7A8D">
              <w:rPr>
                <w:rFonts w:eastAsiaTheme="majorEastAsia"/>
                <w:b/>
                <w:bCs/>
                <w:iCs/>
              </w:rPr>
              <w:t>Е.А. Шумаева,</w:t>
            </w:r>
            <w:bookmarkEnd w:id="0"/>
            <w:r w:rsidRPr="00BF7A8D">
              <w:rPr>
                <w:b/>
                <w:bCs/>
              </w:rPr>
              <w:t xml:space="preserve"> </w:t>
            </w:r>
            <w:r w:rsidRPr="00BF7A8D">
              <w:rPr>
                <w:i/>
                <w:iCs/>
              </w:rPr>
              <w:t>к</w:t>
            </w:r>
            <w:proofErr w:type="gramStart"/>
            <w:r w:rsidRPr="00BF7A8D">
              <w:rPr>
                <w:i/>
                <w:iCs/>
              </w:rPr>
              <w:t>.г</w:t>
            </w:r>
            <w:proofErr w:type="gramEnd"/>
            <w:r w:rsidRPr="00BF7A8D">
              <w:rPr>
                <w:i/>
                <w:iCs/>
              </w:rPr>
              <w:t xml:space="preserve">ос.упр., доц., </w:t>
            </w:r>
          </w:p>
          <w:p w:rsidR="00BF7A8D" w:rsidRPr="00BF7A8D" w:rsidRDefault="00BF7A8D" w:rsidP="00BF7A8D">
            <w:pPr>
              <w:keepNext/>
              <w:jc w:val="both"/>
              <w:outlineLvl w:val="1"/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</w:rPr>
            </w:pPr>
            <w:bookmarkStart w:id="1" w:name="_Toc9105790"/>
            <w:r w:rsidRPr="00BF7A8D"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</w:rPr>
              <w:t>А.А. Герасименко</w:t>
            </w:r>
            <w:bookmarkEnd w:id="1"/>
          </w:p>
          <w:p w:rsidR="00BF7A8D" w:rsidRPr="00BF7A8D" w:rsidRDefault="00BF7A8D" w:rsidP="00BF7A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F7A8D">
              <w:rPr>
                <w:i/>
                <w:iCs/>
              </w:rPr>
              <w:t xml:space="preserve">ГОУ ВПО «Донецкий национальный технический университет», </w:t>
            </w:r>
          </w:p>
          <w:p w:rsidR="00BF7A8D" w:rsidRPr="00BF7A8D" w:rsidRDefault="00BF7A8D" w:rsidP="00BF7A8D">
            <w:pPr>
              <w:autoSpaceDE w:val="0"/>
              <w:autoSpaceDN w:val="0"/>
              <w:adjustRightInd w:val="0"/>
              <w:jc w:val="both"/>
            </w:pPr>
            <w:r w:rsidRPr="00BF7A8D">
              <w:rPr>
                <w:i/>
                <w:iCs/>
              </w:rPr>
              <w:t xml:space="preserve">Донецк, Донецкая Народная Республика </w:t>
            </w:r>
          </w:p>
          <w:p w:rsidR="00BF7A8D" w:rsidRPr="00BF7A8D" w:rsidRDefault="00BF7A8D" w:rsidP="00BF7A8D">
            <w:pPr>
              <w:tabs>
                <w:tab w:val="left" w:pos="1418"/>
              </w:tabs>
              <w:jc w:val="both"/>
              <w:rPr>
                <w:b/>
                <w:bCs/>
                <w:i/>
                <w:iCs/>
              </w:rPr>
            </w:pPr>
            <w:r w:rsidRPr="00BF7A8D">
              <w:rPr>
                <w:b/>
                <w:bCs/>
                <w:i/>
                <w:iCs/>
                <w:lang w:val="en-US"/>
              </w:rPr>
              <w:t>E</w:t>
            </w:r>
            <w:r w:rsidRPr="00BF7A8D">
              <w:rPr>
                <w:b/>
                <w:bCs/>
                <w:i/>
                <w:iCs/>
              </w:rPr>
              <w:t>.</w:t>
            </w:r>
            <w:r w:rsidRPr="00BF7A8D">
              <w:rPr>
                <w:b/>
                <w:bCs/>
                <w:i/>
                <w:iCs/>
                <w:lang w:val="en-US"/>
              </w:rPr>
              <w:t>A</w:t>
            </w:r>
            <w:r w:rsidRPr="00BF7A8D">
              <w:rPr>
                <w:b/>
                <w:bCs/>
                <w:i/>
                <w:iCs/>
              </w:rPr>
              <w:t xml:space="preserve">. </w:t>
            </w:r>
            <w:r w:rsidRPr="00BF7A8D">
              <w:rPr>
                <w:b/>
                <w:bCs/>
                <w:i/>
                <w:iCs/>
                <w:lang w:val="en-US"/>
              </w:rPr>
              <w:t>Shumaeva</w:t>
            </w:r>
            <w:r w:rsidRPr="00BF7A8D">
              <w:rPr>
                <w:b/>
                <w:bCs/>
                <w:i/>
                <w:iCs/>
              </w:rPr>
              <w:t xml:space="preserve">, </w:t>
            </w:r>
            <w:r w:rsidRPr="00BF7A8D">
              <w:rPr>
                <w:b/>
                <w:bCs/>
                <w:i/>
                <w:iCs/>
                <w:lang w:val="en-US"/>
              </w:rPr>
              <w:t>A</w:t>
            </w:r>
            <w:r w:rsidRPr="00BF7A8D">
              <w:rPr>
                <w:b/>
                <w:bCs/>
                <w:i/>
                <w:iCs/>
              </w:rPr>
              <w:t>.</w:t>
            </w:r>
            <w:r w:rsidRPr="00BF7A8D">
              <w:rPr>
                <w:b/>
                <w:bCs/>
                <w:i/>
                <w:iCs/>
                <w:lang w:val="en-US"/>
              </w:rPr>
              <w:t>A</w:t>
            </w:r>
            <w:r w:rsidRPr="00BF7A8D">
              <w:rPr>
                <w:b/>
                <w:bCs/>
                <w:i/>
                <w:iCs/>
              </w:rPr>
              <w:t xml:space="preserve">. </w:t>
            </w:r>
            <w:r w:rsidRPr="00BF7A8D">
              <w:rPr>
                <w:b/>
                <w:bCs/>
                <w:i/>
                <w:iCs/>
                <w:lang w:val="en-US"/>
              </w:rPr>
              <w:t>Gerasimenko</w:t>
            </w:r>
          </w:p>
          <w:p w:rsidR="00BF7A8D" w:rsidRPr="00BF7A8D" w:rsidRDefault="00BF7A8D" w:rsidP="00BF7A8D">
            <w:pPr>
              <w:tabs>
                <w:tab w:val="left" w:pos="1418"/>
              </w:tabs>
              <w:jc w:val="both"/>
              <w:rPr>
                <w:bCs/>
                <w:i/>
                <w:iCs/>
                <w:lang w:val="en-US"/>
              </w:rPr>
            </w:pPr>
            <w:r w:rsidRPr="00BF7A8D">
              <w:rPr>
                <w:bCs/>
                <w:i/>
                <w:iCs/>
                <w:lang w:val="en-US"/>
              </w:rPr>
              <w:t>Donetsk National Technical University,</w:t>
            </w:r>
          </w:p>
          <w:p w:rsidR="00BF7A8D" w:rsidRPr="00BF7A8D" w:rsidRDefault="00BF7A8D" w:rsidP="00BF7A8D">
            <w:pPr>
              <w:tabs>
                <w:tab w:val="left" w:pos="1418"/>
                <w:tab w:val="left" w:pos="7230"/>
              </w:tabs>
              <w:jc w:val="both"/>
              <w:rPr>
                <w:lang w:val="en-US"/>
              </w:rPr>
            </w:pPr>
            <w:r w:rsidRPr="00BF7A8D">
              <w:rPr>
                <w:bCs/>
                <w:i/>
                <w:iCs/>
                <w:lang w:val="en-US"/>
              </w:rPr>
              <w:t>Donetsk, Donetsk People's Republic</w:t>
            </w:r>
          </w:p>
        </w:tc>
      </w:tr>
      <w:tr w:rsidR="00BF7A8D" w:rsidRPr="00BF7A8D" w:rsidTr="00665C78">
        <w:trPr>
          <w:jc w:val="center"/>
        </w:trPr>
        <w:tc>
          <w:tcPr>
            <w:tcW w:w="9566" w:type="dxa"/>
            <w:gridSpan w:val="2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A8D" w:rsidRPr="00BF7A8D" w:rsidTr="00665C78">
        <w:trPr>
          <w:jc w:val="center"/>
        </w:trPr>
        <w:tc>
          <w:tcPr>
            <w:tcW w:w="9566" w:type="dxa"/>
            <w:gridSpan w:val="2"/>
          </w:tcPr>
          <w:p w:rsidR="00BF7A8D" w:rsidRPr="00BF7A8D" w:rsidRDefault="00BF7A8D" w:rsidP="00BF7A8D">
            <w:pPr>
              <w:widowControl w:val="0"/>
              <w:jc w:val="center"/>
              <w:outlineLvl w:val="0"/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_Toc9105791"/>
            <w:r w:rsidRPr="00BF7A8D"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ПРИОРИТЕТНЫЕ НАПРАВЛЕНИЯ ЭКОНОМИЧЕСКОГО РАЗВИТИЯ НЕПРИЗНАННЫХ ГОСУДАРСТВ В УСЛОВИЯХ ПОЛИТИЧЕСКИХ И СТРУКТУРНЫХ ИЗМЕНЕНИЙ</w:t>
            </w:r>
            <w:bookmarkEnd w:id="2"/>
          </w:p>
        </w:tc>
      </w:tr>
      <w:tr w:rsidR="00BF7A8D" w:rsidRPr="00BF7A8D" w:rsidTr="00665C78">
        <w:trPr>
          <w:jc w:val="center"/>
        </w:trPr>
        <w:tc>
          <w:tcPr>
            <w:tcW w:w="9566" w:type="dxa"/>
            <w:gridSpan w:val="2"/>
          </w:tcPr>
          <w:p w:rsidR="00BF7A8D" w:rsidRPr="00BF7A8D" w:rsidRDefault="00BF7A8D" w:rsidP="00BF7A8D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F7A8D" w:rsidRPr="00BF7A8D" w:rsidTr="00665C78">
        <w:trPr>
          <w:jc w:val="center"/>
        </w:trPr>
        <w:tc>
          <w:tcPr>
            <w:tcW w:w="9566" w:type="dxa"/>
            <w:gridSpan w:val="2"/>
          </w:tcPr>
          <w:p w:rsidR="00BF7A8D" w:rsidRPr="00BF7A8D" w:rsidRDefault="00BF7A8D" w:rsidP="00BF7A8D">
            <w:pPr>
              <w:jc w:val="center"/>
              <w:rPr>
                <w:b/>
                <w:lang w:val="en-US"/>
              </w:rPr>
            </w:pPr>
            <w:r w:rsidRPr="00BF7A8D">
              <w:rPr>
                <w:b/>
                <w:lang w:val="en-US"/>
              </w:rPr>
              <w:t>PRIORITY DIRECTIONS OF ECONOMIC DEVELOPMENT OF UNRECOGNIZED STATES IN THE CONTEXT OF OFFICIAL AND STRUCTURAL CHANGES</w:t>
            </w:r>
          </w:p>
        </w:tc>
      </w:tr>
    </w:tbl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7A8D">
        <w:rPr>
          <w:rFonts w:ascii="Times New Roman" w:eastAsiaTheme="minorEastAsia" w:hAnsi="Times New Roman" w:cs="Times New Roman"/>
          <w:i/>
          <w:sz w:val="24"/>
          <w:szCs w:val="24"/>
        </w:rPr>
        <w:t xml:space="preserve">Аннотация. В данной статье проанализированы актуальные проблемы экономики «непризнанных государств»; а, именно, дана оценка функционирования экономики в довоенный период и в настоящее время; определены приоритетные направления их экономического развития в условиях </w:t>
      </w:r>
      <w:r w:rsidRPr="00BF7A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политических и структурных изменений</w:t>
      </w:r>
      <w:r w:rsidRPr="00BF7A8D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7A8D">
        <w:rPr>
          <w:rFonts w:ascii="Times New Roman" w:eastAsiaTheme="minorEastAsia" w:hAnsi="Times New Roman" w:cs="Times New Roman"/>
          <w:i/>
          <w:sz w:val="24"/>
          <w:szCs w:val="24"/>
        </w:rPr>
        <w:t>Ключевые слова: непризнанные государства, экономическое развитие, политические и структурные изменения.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F7A8D">
        <w:rPr>
          <w:rFonts w:ascii="Times New Roman" w:eastAsia="Calibri" w:hAnsi="Times New Roman" w:cs="Times New Roman"/>
          <w:i/>
          <w:sz w:val="24"/>
          <w:lang w:val="en-US"/>
        </w:rPr>
        <w:t>Abstract</w:t>
      </w:r>
      <w:r w:rsidRPr="00BF7A8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 This article analyzes the current problems of the economy of "unrecognized states"; and, namely, an assessment was made of the functioning of the economy in the prewar period and at present; identified priority areas of their economic development in the context of political and structural changes.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F7A8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Keywords: unrecognized states, economic development, political and structural changes.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b/>
          <w:sz w:val="28"/>
        </w:rPr>
        <w:t>Постановка проблемы</w:t>
      </w:r>
      <w:r w:rsidRPr="00BF7A8D">
        <w:rPr>
          <w:rFonts w:ascii="Times New Roman" w:eastAsiaTheme="minorEastAsia" w:hAnsi="Times New Roman" w:cs="Times New Roman"/>
          <w:sz w:val="28"/>
        </w:rPr>
        <w:t>. На современном этапе развития мировой экономики такое понятие, как «непризнанное государство», все чаще встречается в политической среде. На сегодняшний день на территории почти 60 стран мира насчитывается около 120 территориальных образований, непризнанных международным сообществом. При этом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 xml:space="preserve"> к факторам, которые влияют на возникновение таких государств можно отнести следующее: революции, реализация права на самоопределение, послевоенное разделение, получение независимости, политические «игры» сверхдержав. Так, некоторые участники мировой политики создают так называемые «марионеточные государства» - нейтральные зоны между враждующими странами. Поэтому для мировой политики непризнанное государство является проблемой, так как оно может стать местом разжигания военных действий, которые могут повлечь за собой долгий и нерешаемый экономический и политический конфликт. Также наличие непризнанных государств является одной из ключевых проблем теории международных отношений и мировой политики, так как затрагивает интересы не одной </w:t>
      </w:r>
      <w:r w:rsidRPr="00BF7A8D">
        <w:rPr>
          <w:rFonts w:ascii="Times New Roman" w:eastAsiaTheme="minorEastAsia" w:hAnsi="Times New Roman" w:cs="Times New Roman"/>
          <w:sz w:val="28"/>
        </w:rPr>
        <w:lastRenderedPageBreak/>
        <w:t xml:space="preserve">страны, а всего мирового сообщества, всех участников современных международных отношений [1; с.1]. 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b/>
          <w:sz w:val="28"/>
        </w:rPr>
        <w:t xml:space="preserve">Анализ предыдущих исследований и публикаций. </w:t>
      </w:r>
      <w:r w:rsidRPr="00BF7A8D">
        <w:rPr>
          <w:rFonts w:ascii="Times New Roman" w:eastAsiaTheme="minorEastAsia" w:hAnsi="Times New Roman" w:cs="Times New Roman"/>
          <w:sz w:val="28"/>
        </w:rPr>
        <w:t>Анализ степени изученности данной проблематики показывает, что она активно разрабатывалась такими зарубежными учеными, как М. Шоу, Р. Хиггинс. Отдельные проблемы непризнанных госуда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рств в с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>овременном мире получили освещение в работах Н. Арлана, Т. Бутова, Е. Чернышёвой. Экономические аспекты функционирования непризнанных госуда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рств пр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>едставлены в исследованиях Ю. Косова и др.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b/>
          <w:sz w:val="28"/>
        </w:rPr>
        <w:t xml:space="preserve">Цель исследования. </w:t>
      </w:r>
      <w:r w:rsidRPr="00BF7A8D">
        <w:rPr>
          <w:rFonts w:ascii="Times New Roman" w:eastAsiaTheme="minorEastAsia" w:hAnsi="Times New Roman" w:cs="Times New Roman"/>
          <w:sz w:val="28"/>
        </w:rPr>
        <w:t>Проанализировать актуальные проблемы и рассмотреть приоритетные направления экономического развития «непризнанных государств».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b/>
          <w:sz w:val="28"/>
        </w:rPr>
        <w:t>Основные результаты исследования.</w:t>
      </w:r>
      <w:r w:rsidRPr="00BF7A8D">
        <w:rPr>
          <w:rFonts w:ascii="Times New Roman" w:eastAsiaTheme="minorEastAsia" w:hAnsi="Times New Roman" w:cs="Times New Roman"/>
          <w:sz w:val="28"/>
        </w:rPr>
        <w:t xml:space="preserve"> В результате событий в 2013-2014 гг. в экономике и политике Украины возникли такие государства, как Донецкая Народная Республика и Луганская Народная Республика. Стоит отметить, что уже с 2013 г. начали зарождаться политические изменения, то есть изменения, которые повлекли за собой процесс появления нового качества в способе и характере взаимодействия между политическими субъектами, между политической системой и внешней средой, что вызвало в результате военный конфликт. Несмотря на активные военные действия в 2014 г., государствам необходимо было функционировать в условиях неопределенности и непризнанности. Основные проблемы, с которыми столкнулись республики, были связаны с разрывом экономических связей с Украиной: дестабилизация функционирования предприятий; потеря рынка; смена валюты; отток инвестиций; отсутствие целостной банковской системы; слабая законодательная база; понижение уровня доходов населения; отток населения, вследствие чего, потеря части трудоспособного населения.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До 2014 г. Донецкая область представляла собой один из самых развитых промышленных регионов Украины, где производилось 19,7% продукции обрабатывающей промышленности страны. Область имела положительное сальдо внешней торговли (коэффициент покрытия экспортом импорта составлял 3,44). Прямые иностранные инвестиции за последние 5 довоенных лет увеличились в 3,7 раза, в то время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 xml:space="preserve"> как в целом по Украине – в 2,65 раза. Состав хозяйственного комплекса был разносторонне развит (табл. 1).</w:t>
      </w:r>
    </w:p>
    <w:p w:rsidR="00BF7A8D" w:rsidRPr="00BF7A8D" w:rsidRDefault="00BF7A8D" w:rsidP="00BF7A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</w:rPr>
      </w:pPr>
    </w:p>
    <w:p w:rsidR="00BF7A8D" w:rsidRPr="00BF7A8D" w:rsidRDefault="00BF7A8D" w:rsidP="00BF7A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 xml:space="preserve">Таблица 1 </w:t>
      </w:r>
    </w:p>
    <w:p w:rsidR="00BF7A8D" w:rsidRPr="00BF7A8D" w:rsidRDefault="00BF7A8D" w:rsidP="00BF7A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 xml:space="preserve">Состав хозяйственного комплекса Донецкой области по состоянию </w:t>
      </w:r>
    </w:p>
    <w:p w:rsidR="00BF7A8D" w:rsidRPr="00BF7A8D" w:rsidRDefault="00BF7A8D" w:rsidP="00BF7A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на 2014 г. [2; с. 2]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3"/>
      </w:tblGrid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Отрасль</w:t>
            </w: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Показатели отрасли</w:t>
            </w:r>
          </w:p>
        </w:tc>
      </w:tr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Угольная промышленность</w:t>
            </w: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Была представлена 95 шахтами (из них 47 − негосударственной формы собственности) и 25 обогатительными фабриками. Производственная мощность угледобывающих предприятий составляла 38 млн.т. угля в год.</w:t>
            </w:r>
          </w:p>
        </w:tc>
      </w:tr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Электроэнергетика</w:t>
            </w:r>
          </w:p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lastRenderedPageBreak/>
              <w:t xml:space="preserve">Имела единый комплекс генерирующих и </w:t>
            </w:r>
            <w:r w:rsidRPr="00BF7A8D">
              <w:rPr>
                <w:sz w:val="24"/>
                <w:szCs w:val="24"/>
              </w:rPr>
              <w:lastRenderedPageBreak/>
              <w:t>энергоснабжающих предприятий. Общая мощность – 10,2 тыс. МВт.</w:t>
            </w:r>
          </w:p>
        </w:tc>
      </w:tr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lastRenderedPageBreak/>
              <w:t>Черная металлургия</w:t>
            </w:r>
          </w:p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На территории Донецка находилось 3 металлургических предприятия и 5 предприятий по производству труб. В едином процессе производства металлопродукции работали 7 коксохимических производств, 3 флюсодобывающих и 6 огнеупорных предприятий.</w:t>
            </w:r>
          </w:p>
        </w:tc>
      </w:tr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Предприятия химической промышленности (23 предприятия) производили широкий ассортимент продукции: минеральные удобрения, аммиак, полистирол, кислоты, товары бытовой химии, фармацевтические изделия и др.</w:t>
            </w:r>
          </w:p>
        </w:tc>
      </w:tr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proofErr w:type="gramStart"/>
            <w:r w:rsidRPr="00BF7A8D">
              <w:rPr>
                <w:sz w:val="24"/>
                <w:szCs w:val="24"/>
              </w:rPr>
              <w:t>152 предприятия производили технику для угольной и металлургической отраслей, железной дороги, строительства, сельского хозяйства, станки, холодильники, газовые плиты, стиральные машины и др.</w:t>
            </w:r>
            <w:proofErr w:type="gramEnd"/>
          </w:p>
        </w:tc>
      </w:tr>
      <w:tr w:rsidR="00BF7A8D" w:rsidRPr="00BF7A8D" w:rsidTr="00665C78">
        <w:trPr>
          <w:jc w:val="center"/>
        </w:trPr>
        <w:tc>
          <w:tcPr>
            <w:tcW w:w="2972" w:type="dxa"/>
            <w:vAlign w:val="center"/>
          </w:tcPr>
          <w:p w:rsidR="00BF7A8D" w:rsidRPr="00BF7A8D" w:rsidRDefault="00BF7A8D" w:rsidP="00BF7A8D">
            <w:pPr>
              <w:jc w:val="center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6373" w:type="dxa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proofErr w:type="gramStart"/>
            <w:r w:rsidRPr="00BF7A8D">
              <w:rPr>
                <w:sz w:val="24"/>
                <w:szCs w:val="24"/>
              </w:rPr>
              <w:t>Пищевая промышленность (104 предприятия) специализировалась на выпуске мясной, молочной, хлебопекарной, мукомольной, кондитерской, макаронной, масложировой, рыбной, плодоовощной, ликероводочной, винодельческой, пивобезалкогольной продукции;</w:t>
            </w:r>
            <w:proofErr w:type="gramEnd"/>
          </w:p>
        </w:tc>
      </w:tr>
    </w:tbl>
    <w:p w:rsidR="00BF7A8D" w:rsidRPr="00BF7A8D" w:rsidRDefault="00BF7A8D" w:rsidP="00BF7A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По состоянию на 2018 г. динамично развивается лишь пищевая промышленность, например, под внешние неустойчивые условия подстроились такие компании, как «Геркулес», «Колбико», «Донко», а также «Шахтерская птицефабрика», которые расширяют торговую сеть и производство не только на территории ДНР, но и на внешнем рынке (Россия). Это говорит о том, что рынок продовольственных продуктов ДНР самообеспеченный и продовольственная безопасность Республики остается на высоком уровне. Если рассматривать тяжелую промышленность, то можно сказать, что инфраструктура имеет большие повреждения, которые, в свою очередь, надо восстанавливать, это ведет за собой финансовую нагрузку. Поэтому частным предпринимателям выгоднее и легче занять свою нишу в среде быстрооборачиваемого товара (например, сельское хозяйство, химия). И поэтому для того, чтобы заняться тяжелой промышленность, необходимо наладить инвестиционный климат Республики.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На данном этапе развития, в течени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и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 xml:space="preserve"> 2014-2018 гг., промышленное производство Донецкого региона показывает резкое сокращение. Все экономические показатели стремительно упали, появились проблемы, связанные с поставкой сырья и отгрузкой произведенной продукции, а также разрушением производственной инфраструктуры. На январь 2017 г. в ДНР основную долю в промышленности занимает металлургия и металлообработка – 37,6% (рис. 1). По данным 2016 г. реализовано продукции предприятий всех отраслей, работающих в ДНР, на сумму 88,1 млрд. руб., из которой 40% приходится на металлургическую отрасль, затем коксохимическую, добывающую и машиностроительную.</w:t>
      </w:r>
    </w:p>
    <w:p w:rsidR="00BF7A8D" w:rsidRPr="00BF7A8D" w:rsidRDefault="00BF7A8D" w:rsidP="00BF7A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F7A8D" w:rsidRPr="00BF7A8D" w:rsidRDefault="00BF7A8D" w:rsidP="00BF7A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6FA794A" wp14:editId="120BF5D6">
            <wp:extent cx="5210175" cy="2339163"/>
            <wp:effectExtent l="0" t="0" r="952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7A8D" w:rsidRPr="00BF7A8D" w:rsidRDefault="00BF7A8D" w:rsidP="00BF7A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Рис. 1. Структура промышленности ДНР, %, 2017 г. [3]</w:t>
      </w:r>
    </w:p>
    <w:p w:rsidR="00BF7A8D" w:rsidRPr="00BF7A8D" w:rsidRDefault="00BF7A8D" w:rsidP="00BF7A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Таким образом, можно сказать, что пищевая промышленность занимает в настоящее время лидирующие позиции в ДНР, что оправдано быстротой оборачиваемости товара и высоким спросов в условиях дефицита товара и узким ассортиментом.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 xml:space="preserve">Так как ДНР является промышленным регионом, основой для развития экономики и благосостояния населения в ограниченных условиях может послужить стратегия переориентации производственных мощностей с целью развития смежных или других отраслей. В связи с 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изложенным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 xml:space="preserve">, целесообразно в качестве основной стратегии государства рассмотреть создание экспортоориентированной экономики. За счет переориентации производственных мощностей экономика может совершить переход от «экспортно-сырьевой» к «экономике потребностей», чьи основные критерии – это развитие народного хозяйства, которое способствует удовлетворению потребностей внутреннего рынка. 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В Республике на достаточно высоком уровне развиты научно-исследовательские институты, которые обеспечивали практически всю промышленность научными разработками, позволяющими развивать промышленность и делать выпускаемую продукцию более конкурентоспособной на международном рынке. На сегодняшний день, научно-исследовательские институты ДНР могут позволить успешно осуществить переориентацию производственных мощностей путем внедрения своих научных разработок и новых технологий с целью более эффективного развития внутреннего производственного потенциала. Это позволит уменьшить зависимость экономики ДНР от импорта. Положительным моментом выступает также создание дополнительных рабочих мест за счет перепрофилирования и модернизации уже действующих производств. Одним из ярких примеров могут выступать машиностроительные предприятия, которые переориентировались на выпуск сельскохозяйственного инвентаря, а также бытовых металлических конструкций [4; с. 2].</w:t>
      </w:r>
    </w:p>
    <w:p w:rsidR="00BF7A8D" w:rsidRPr="00BF7A8D" w:rsidRDefault="00BF7A8D" w:rsidP="00BF7A8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 xml:space="preserve">Еще одним приоритетным направлением развития может выступать </w:t>
      </w:r>
      <w:r w:rsidRPr="00BF7A8D">
        <w:rPr>
          <w:rFonts w:ascii="Times New Roman" w:eastAsiaTheme="minorEastAsia" w:hAnsi="Times New Roman" w:cs="Times New Roman"/>
          <w:sz w:val="28"/>
        </w:rPr>
        <w:lastRenderedPageBreak/>
        <w:t xml:space="preserve">переход от сырьевого экспорта к экспорту продукции, прошедшей глубокую переработку. ДНР располагает большими запасами природных ресурсов, на добычу и переработку которых направлена основная часть производственных мощностей. В связи с этим, структура экспорта ДНР состоит в преобладающей мере из первичного сырья. На данный момент, партнеры Республики заинтересованы в закупке машиностроительной техники (в основном горно-шахтной), химической, фармацевтической и другой продукции донецких предприятий. Данная заинтересованность позволит переориентировать экспортную политику Республики и перейти от экспорта первичного сырья к экспорту продукции, прошедшей глубокую переработку. Сегодня в товарной структуре экспорта Республики преобладают непродовольственные товары: металлы и изделия из них, минеральные продукты, машины и оборудование, бытовая техника, изделия медицинского назначения, целлюлозно-бумажные изделия, строительные материалы [4; с. 3]. 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F7A8D">
        <w:rPr>
          <w:rFonts w:ascii="Times New Roman" w:eastAsiaTheme="minorEastAsia" w:hAnsi="Times New Roman" w:cs="Times New Roman"/>
          <w:sz w:val="28"/>
        </w:rPr>
        <w:t>Одним из ключевых аспектов развития экономики выступает благополучие населения. Для повышения уровня качества жизни, а соответственно и благополучия населения, необходимо формировать условия устойчивого роста заработной платы, которая, в свою очередь, будет сбалансирована с повышением производительности труда и качеством рабочей силы. Создание эффективных механизмов регулирования рынка труда позволит обеспечить сочетание конкуренции на рынке труда с партнерскими отношениями работников, работодателей и государства.</w:t>
      </w:r>
    </w:p>
    <w:p w:rsidR="00BF7A8D" w:rsidRPr="00BF7A8D" w:rsidRDefault="00BF7A8D" w:rsidP="00BF7A8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BF7A8D">
        <w:rPr>
          <w:rFonts w:ascii="Times New Roman" w:eastAsiaTheme="minorEastAsia" w:hAnsi="Times New Roman" w:cs="Times New Roman"/>
          <w:b/>
          <w:sz w:val="28"/>
        </w:rPr>
        <w:t xml:space="preserve">Выводы. </w:t>
      </w:r>
      <w:r w:rsidRPr="00BF7A8D">
        <w:rPr>
          <w:rFonts w:ascii="Times New Roman" w:eastAsiaTheme="minorEastAsia" w:hAnsi="Times New Roman" w:cs="Times New Roman"/>
          <w:sz w:val="28"/>
        </w:rPr>
        <w:t xml:space="preserve">Таким образом, политические изменения в государстве ведут к </w:t>
      </w:r>
      <w:proofErr w:type="gramStart"/>
      <w:r w:rsidRPr="00BF7A8D">
        <w:rPr>
          <w:rFonts w:ascii="Times New Roman" w:eastAsiaTheme="minorEastAsia" w:hAnsi="Times New Roman" w:cs="Times New Roman"/>
          <w:sz w:val="28"/>
        </w:rPr>
        <w:t>тому</w:t>
      </w:r>
      <w:proofErr w:type="gramEnd"/>
      <w:r w:rsidRPr="00BF7A8D">
        <w:rPr>
          <w:rFonts w:ascii="Times New Roman" w:eastAsiaTheme="minorEastAsia" w:hAnsi="Times New Roman" w:cs="Times New Roman"/>
          <w:sz w:val="28"/>
        </w:rPr>
        <w:t xml:space="preserve"> что необходимо развивать государственность по всем направлениям, которые будут включать в себя, как урегулирование конфликта на международном уровне, так и поиск новых внешнеэкономических партнеров, которые помогут в экономическом развитии ДНР. Наилучшим путем развития экономики Республики, на данном этапе, является переориентация экспортной стратегии от сырьевой к экспорту продукции, прошедшей глубокую переработку, а также вовлечение научно-исследовательских институтов ДНР в производственные процессы с целью повышения конкурентоспособности выпускаемой продукции.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862"/>
      </w:tblGrid>
      <w:tr w:rsidR="00BF7A8D" w:rsidRPr="00BF7A8D" w:rsidTr="00665C78">
        <w:trPr>
          <w:jc w:val="center"/>
        </w:trPr>
        <w:tc>
          <w:tcPr>
            <w:tcW w:w="5000" w:type="pct"/>
            <w:gridSpan w:val="2"/>
          </w:tcPr>
          <w:p w:rsidR="00BF7A8D" w:rsidRPr="00BF7A8D" w:rsidRDefault="00BF7A8D" w:rsidP="00BF7A8D">
            <w:pPr>
              <w:contextualSpacing/>
              <w:jc w:val="both"/>
              <w:rPr>
                <w:sz w:val="24"/>
              </w:rPr>
            </w:pPr>
          </w:p>
        </w:tc>
      </w:tr>
      <w:tr w:rsidR="00BF7A8D" w:rsidRPr="00BF7A8D" w:rsidTr="00665C78">
        <w:trPr>
          <w:jc w:val="center"/>
        </w:trPr>
        <w:tc>
          <w:tcPr>
            <w:tcW w:w="5000" w:type="pct"/>
            <w:gridSpan w:val="2"/>
          </w:tcPr>
          <w:p w:rsidR="00BF7A8D" w:rsidRPr="00BF7A8D" w:rsidRDefault="00BF7A8D" w:rsidP="00BF7A8D">
            <w:pPr>
              <w:jc w:val="center"/>
              <w:rPr>
                <w:b/>
              </w:rPr>
            </w:pPr>
            <w:r w:rsidRPr="00BF7A8D">
              <w:rPr>
                <w:b/>
              </w:rPr>
              <w:t>Список литературы</w:t>
            </w:r>
          </w:p>
        </w:tc>
      </w:tr>
      <w:tr w:rsidR="00BF7A8D" w:rsidRPr="00BF7A8D" w:rsidTr="00665C78">
        <w:trPr>
          <w:jc w:val="center"/>
        </w:trPr>
        <w:tc>
          <w:tcPr>
            <w:tcW w:w="293" w:type="pct"/>
          </w:tcPr>
          <w:p w:rsidR="00BF7A8D" w:rsidRPr="00BF7A8D" w:rsidRDefault="00BF7A8D" w:rsidP="00BF7A8D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Ванюков Д.А. Непризнанные государства // Книжный Клуб Книговек. 2011. № 1. URL: http://www.bgshop.ru/catalog/getfulldescription?id=9682157 (дата обращения 24.09.2018).</w:t>
            </w:r>
          </w:p>
        </w:tc>
      </w:tr>
      <w:tr w:rsidR="00BF7A8D" w:rsidRPr="00BF7A8D" w:rsidTr="00665C78">
        <w:trPr>
          <w:jc w:val="center"/>
        </w:trPr>
        <w:tc>
          <w:tcPr>
            <w:tcW w:w="293" w:type="pct"/>
          </w:tcPr>
          <w:p w:rsidR="00BF7A8D" w:rsidRPr="00BF7A8D" w:rsidRDefault="00BF7A8D" w:rsidP="00BF7A8D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Министерство промышленности и торговли ДНР. Развитие ДНР. URL: http://mptdnr.ru/news (дата обращения 24.09.2018).</w:t>
            </w:r>
          </w:p>
        </w:tc>
      </w:tr>
      <w:tr w:rsidR="00BF7A8D" w:rsidRPr="00BF7A8D" w:rsidTr="00665C78">
        <w:trPr>
          <w:jc w:val="center"/>
        </w:trPr>
        <w:tc>
          <w:tcPr>
            <w:tcW w:w="293" w:type="pct"/>
          </w:tcPr>
          <w:p w:rsidR="00BF7A8D" w:rsidRPr="00BF7A8D" w:rsidRDefault="00BF7A8D" w:rsidP="00BF7A8D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Донецкое агентство новостей. Промышленность Донецкого региона. URL: https://dan-https://dan-news.infol (дата обращения 24.09.2018).</w:t>
            </w:r>
          </w:p>
        </w:tc>
      </w:tr>
      <w:tr w:rsidR="00BF7A8D" w:rsidRPr="00BF7A8D" w:rsidTr="00665C78">
        <w:trPr>
          <w:jc w:val="center"/>
        </w:trPr>
        <w:tc>
          <w:tcPr>
            <w:tcW w:w="293" w:type="pct"/>
          </w:tcPr>
          <w:p w:rsidR="00BF7A8D" w:rsidRPr="00BF7A8D" w:rsidRDefault="00BF7A8D" w:rsidP="00BF7A8D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BF7A8D" w:rsidRPr="00BF7A8D" w:rsidRDefault="00BF7A8D" w:rsidP="00BF7A8D">
            <w:pPr>
              <w:jc w:val="both"/>
              <w:rPr>
                <w:sz w:val="24"/>
                <w:szCs w:val="24"/>
              </w:rPr>
            </w:pPr>
            <w:r w:rsidRPr="00BF7A8D">
              <w:rPr>
                <w:sz w:val="24"/>
                <w:szCs w:val="24"/>
              </w:rPr>
              <w:t>МинПромТорг ДНР. Приоритетные направления экономического развития ДНР. URL:http://mer.govdnr.ru/index.php?option=com_content&amp;view=article&amp;id=4848:o-prioritetnykh-napravleniyakh-ekonomicheskogo-razvitiya-dnr&amp;catid=40&amp;Itemid=665 (дата обращения 24.09.2018).</w:t>
            </w:r>
          </w:p>
        </w:tc>
      </w:tr>
    </w:tbl>
    <w:p w:rsidR="00527BFF" w:rsidRDefault="00527BFF">
      <w:bookmarkStart w:id="3" w:name="_GoBack"/>
      <w:bookmarkEnd w:id="3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1B2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8D"/>
    <w:rsid w:val="00527BFF"/>
    <w:rsid w:val="00B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8D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8D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89;&#1090;&#1072;&#1089;&#1080;&#1103;\Desktop\&#1084;&#1086;&#1080;%20&#1089;&#1090;&#1072;&#1090;&#1100;&#1080;(&#1084;)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1D-4B77-AFAC-945FDEC4C307}"/>
              </c:ext>
            </c:extLst>
          </c:dPt>
          <c:dPt>
            <c:idx val="1"/>
            <c:bubble3D val="0"/>
            <c:spPr>
              <a:pattFill prst="dk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1D-4B77-AFAC-945FDEC4C307}"/>
              </c:ext>
            </c:extLst>
          </c:dPt>
          <c:dPt>
            <c:idx val="2"/>
            <c:bubble3D val="0"/>
            <c:spPr>
              <a:pattFill prst="sphere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1D-4B77-AFAC-945FDEC4C307}"/>
              </c:ext>
            </c:extLst>
          </c:dPt>
          <c:dPt>
            <c:idx val="3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1D-4B77-AFAC-945FDEC4C307}"/>
              </c:ext>
            </c:extLst>
          </c:dPt>
          <c:dPt>
            <c:idx val="4"/>
            <c:bubble3D val="0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1D-4B77-AFAC-945FDEC4C307}"/>
              </c:ext>
            </c:extLst>
          </c:dPt>
          <c:dPt>
            <c:idx val="5"/>
            <c:bubble3D val="0"/>
            <c:spPr>
              <a:pattFill prst="dk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1D-4B77-AFAC-945FDEC4C307}"/>
              </c:ext>
            </c:extLst>
          </c:dPt>
          <c:dPt>
            <c:idx val="6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1D-4B77-AFAC-945FDEC4C307}"/>
              </c:ext>
            </c:extLst>
          </c:dPt>
          <c:dPt>
            <c:idx val="7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F1D-4B77-AFAC-945FDEC4C307}"/>
              </c:ext>
            </c:extLst>
          </c:dPt>
          <c:dLbls>
            <c:dLbl>
              <c:idx val="0"/>
              <c:layout>
                <c:manualLayout>
                  <c:x val="-5.376019039667618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1D-4B77-AFAC-945FDEC4C307}"/>
                </c:ext>
              </c:extLst>
            </c:dLbl>
            <c:dLbl>
              <c:idx val="1"/>
              <c:layout>
                <c:manualLayout>
                  <c:x val="7.70177585205870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1D-4B77-AFAC-945FDEC4C307}"/>
                </c:ext>
              </c:extLst>
            </c:dLbl>
            <c:dLbl>
              <c:idx val="2"/>
              <c:layout>
                <c:manualLayout>
                  <c:x val="7.7805831857855057E-2"/>
                  <c:y val="5.22041044082088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1D-4B77-AFAC-945FDEC4C307}"/>
                </c:ext>
              </c:extLst>
            </c:dLbl>
            <c:dLbl>
              <c:idx val="3"/>
              <c:layout>
                <c:manualLayout>
                  <c:x val="-1.3271872265966754E-2"/>
                  <c:y val="-3.63667541557305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1D-4B77-AFAC-945FDEC4C307}"/>
                </c:ext>
              </c:extLst>
            </c:dLbl>
            <c:dLbl>
              <c:idx val="4"/>
              <c:layout>
                <c:manualLayout>
                  <c:x val="-3.2130782555288541E-2"/>
                  <c:y val="0.287672058234100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1D-4B77-AFAC-945FDEC4C307}"/>
                </c:ext>
              </c:extLst>
            </c:dLbl>
            <c:dLbl>
              <c:idx val="5"/>
              <c:layout>
                <c:manualLayout>
                  <c:x val="6.3926451606711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1D-4B77-AFAC-945FDEC4C307}"/>
                </c:ext>
              </c:extLst>
            </c:dLbl>
            <c:dLbl>
              <c:idx val="6"/>
              <c:layout>
                <c:manualLayout>
                  <c:x val="2.6691233979664792E-2"/>
                  <c:y val="-0.25040844032426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F1D-4B77-AFAC-945FDEC4C307}"/>
                </c:ext>
              </c:extLst>
            </c:dLbl>
            <c:dLbl>
              <c:idx val="7"/>
              <c:layout>
                <c:manualLayout>
                  <c:x val="-0.125394636456549"/>
                  <c:y val="1.08607113765951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F1D-4B77-AFAC-945FDEC4C307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Sheet1!$A$1:$A$8</c:f>
              <c:strCache>
                <c:ptCount val="8"/>
                <c:pt idx="0">
                  <c:v>машиностроение</c:v>
                </c:pt>
                <c:pt idx="1">
                  <c:v>химическая промышленность</c:v>
                </c:pt>
                <c:pt idx="2">
                  <c:v>добыча угля</c:v>
                </c:pt>
                <c:pt idx="3">
                  <c:v>коксохимия</c:v>
                </c:pt>
                <c:pt idx="4">
                  <c:v>пищевая промышленность</c:v>
                </c:pt>
                <c:pt idx="5">
                  <c:v>производство,передача и распределение электроэнергии</c:v>
                </c:pt>
                <c:pt idx="6">
                  <c:v>металлургия</c:v>
                </c:pt>
                <c:pt idx="7">
                  <c:v>другие отрасли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  <c:pt idx="5">
                  <c:v>26</c:v>
                </c:pt>
                <c:pt idx="6">
                  <c:v>37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F1D-4B77-AFAC-945FDEC4C3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39174787795048"/>
          <c:y val="5.3363070995435913E-2"/>
          <c:w val="0.37398302360285396"/>
          <c:h val="0.889989785759538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pct20">
      <a:fgClr>
        <a:schemeClr val="bg1"/>
      </a:fgClr>
      <a:bgClr>
        <a:schemeClr val="bg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2020-04-16T17:13:00Z</dcterms:created>
  <dcterms:modified xsi:type="dcterms:W3CDTF">2020-04-16T17:31:00Z</dcterms:modified>
</cp:coreProperties>
</file>