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6"/>
        <w:gridCol w:w="5126"/>
      </w:tblGrid>
      <w:tr w:rsidR="008A1838" w:rsidRPr="008A1838" w:rsidTr="00BB1D7C">
        <w:trPr>
          <w:jc w:val="center"/>
        </w:trPr>
        <w:tc>
          <w:tcPr>
            <w:tcW w:w="4241" w:type="dxa"/>
          </w:tcPr>
          <w:p w:rsidR="008A1838" w:rsidRPr="008A1838" w:rsidRDefault="008A1838" w:rsidP="008A1838">
            <w:pPr>
              <w:jc w:val="both"/>
              <w:rPr>
                <w:rFonts w:ascii="Times New Roman" w:hAnsi="Times New Roman"/>
                <w:b/>
                <w:sz w:val="28"/>
                <w:szCs w:val="28"/>
              </w:rPr>
            </w:pPr>
            <w:r w:rsidRPr="008A1838">
              <w:rPr>
                <w:rFonts w:ascii="Times New Roman" w:hAnsi="Times New Roman"/>
                <w:b/>
                <w:sz w:val="28"/>
                <w:szCs w:val="28"/>
              </w:rPr>
              <w:t>УДК 334.012.82</w:t>
            </w:r>
          </w:p>
        </w:tc>
        <w:tc>
          <w:tcPr>
            <w:tcW w:w="5220" w:type="dxa"/>
            <w:tcMar>
              <w:left w:w="0" w:type="dxa"/>
              <w:right w:w="0" w:type="dxa"/>
            </w:tcMar>
          </w:tcPr>
          <w:p w:rsidR="008A1838" w:rsidRPr="008A1838" w:rsidRDefault="008A1838" w:rsidP="008A1838">
            <w:pPr>
              <w:widowControl w:val="0"/>
              <w:shd w:val="clear" w:color="auto" w:fill="FFFFFF"/>
              <w:rPr>
                <w:rFonts w:ascii="Times New Roman" w:hAnsi="Times New Roman"/>
                <w:sz w:val="28"/>
                <w:szCs w:val="28"/>
              </w:rPr>
            </w:pPr>
          </w:p>
        </w:tc>
      </w:tr>
      <w:tr w:rsidR="008A1838" w:rsidRPr="008A1838" w:rsidTr="00BB1D7C">
        <w:trPr>
          <w:jc w:val="center"/>
        </w:trPr>
        <w:tc>
          <w:tcPr>
            <w:tcW w:w="4241" w:type="dxa"/>
          </w:tcPr>
          <w:p w:rsidR="008A1838" w:rsidRPr="008A1838" w:rsidRDefault="008A1838" w:rsidP="008A1838">
            <w:pPr>
              <w:widowControl w:val="0"/>
              <w:jc w:val="right"/>
              <w:rPr>
                <w:rFonts w:ascii="Times New Roman" w:hAnsi="Times New Roman"/>
                <w:sz w:val="28"/>
                <w:szCs w:val="28"/>
              </w:rPr>
            </w:pPr>
          </w:p>
        </w:tc>
        <w:tc>
          <w:tcPr>
            <w:tcW w:w="5220" w:type="dxa"/>
            <w:tcMar>
              <w:left w:w="0" w:type="dxa"/>
              <w:right w:w="0" w:type="dxa"/>
            </w:tcMar>
          </w:tcPr>
          <w:p w:rsidR="008A1838" w:rsidRPr="008A1838" w:rsidRDefault="008A1838" w:rsidP="008A1838">
            <w:pPr>
              <w:jc w:val="both"/>
              <w:rPr>
                <w:rFonts w:ascii="Times New Roman" w:hAnsi="Times New Roman"/>
                <w:i/>
                <w:sz w:val="28"/>
                <w:szCs w:val="28"/>
              </w:rPr>
            </w:pPr>
            <w:bookmarkStart w:id="0" w:name="_Toc518846440"/>
            <w:r w:rsidRPr="008A1838">
              <w:rPr>
                <w:rFonts w:ascii="Times New Roman" w:hAnsi="Times New Roman"/>
                <w:b/>
                <w:bCs/>
                <w:sz w:val="28"/>
                <w:szCs w:val="28"/>
              </w:rPr>
              <w:t>В. В. Колобова</w:t>
            </w:r>
            <w:bookmarkEnd w:id="0"/>
            <w:r w:rsidRPr="008A1838">
              <w:rPr>
                <w:rFonts w:ascii="Times New Roman" w:hAnsi="Times New Roman"/>
                <w:i/>
                <w:sz w:val="28"/>
                <w:szCs w:val="28"/>
              </w:rPr>
              <w:t xml:space="preserve"> </w:t>
            </w:r>
          </w:p>
          <w:p w:rsidR="008A1838" w:rsidRPr="008A1838" w:rsidRDefault="008A1838" w:rsidP="008A1838">
            <w:pPr>
              <w:jc w:val="both"/>
              <w:rPr>
                <w:rFonts w:ascii="Times New Roman" w:hAnsi="Times New Roman"/>
                <w:i/>
                <w:sz w:val="28"/>
                <w:szCs w:val="28"/>
              </w:rPr>
            </w:pPr>
            <w:r w:rsidRPr="008A1838">
              <w:rPr>
                <w:rFonts w:ascii="Times New Roman" w:hAnsi="Times New Roman"/>
                <w:i/>
                <w:sz w:val="28"/>
                <w:szCs w:val="28"/>
              </w:rPr>
              <w:t>ГОУ</w:t>
            </w:r>
            <w:r w:rsidRPr="008A1838">
              <w:rPr>
                <w:rFonts w:ascii="Times New Roman" w:hAnsi="Times New Roman"/>
                <w:i/>
                <w:sz w:val="28"/>
                <w:szCs w:val="28"/>
                <w:lang w:val="en-US"/>
              </w:rPr>
              <w:t> </w:t>
            </w:r>
            <w:r w:rsidRPr="008A1838">
              <w:rPr>
                <w:rFonts w:ascii="Times New Roman" w:hAnsi="Times New Roman"/>
                <w:i/>
                <w:sz w:val="28"/>
                <w:szCs w:val="28"/>
              </w:rPr>
              <w:t>ВПО</w:t>
            </w:r>
            <w:r w:rsidRPr="008A1838">
              <w:rPr>
                <w:rFonts w:ascii="Times New Roman" w:hAnsi="Times New Roman"/>
                <w:i/>
                <w:sz w:val="28"/>
                <w:szCs w:val="28"/>
                <w:lang w:val="en-US"/>
              </w:rPr>
              <w:t> </w:t>
            </w:r>
            <w:r w:rsidRPr="008A1838">
              <w:rPr>
                <w:rFonts w:ascii="Times New Roman" w:hAnsi="Times New Roman"/>
                <w:i/>
                <w:sz w:val="28"/>
                <w:szCs w:val="28"/>
              </w:rPr>
              <w:t>«Донецкий</w:t>
            </w:r>
            <w:r w:rsidRPr="008A1838">
              <w:rPr>
                <w:rFonts w:ascii="Times New Roman" w:hAnsi="Times New Roman"/>
                <w:i/>
                <w:sz w:val="28"/>
                <w:szCs w:val="28"/>
                <w:lang w:val="en-US"/>
              </w:rPr>
              <w:t> </w:t>
            </w:r>
            <w:r w:rsidRPr="008A1838">
              <w:rPr>
                <w:rFonts w:ascii="Times New Roman" w:hAnsi="Times New Roman"/>
                <w:i/>
                <w:sz w:val="28"/>
                <w:szCs w:val="28"/>
              </w:rPr>
              <w:t>национальный технический университет»</w:t>
            </w:r>
          </w:p>
          <w:p w:rsidR="008A1838" w:rsidRPr="008A1838" w:rsidRDefault="008A1838" w:rsidP="008A1838">
            <w:pPr>
              <w:jc w:val="both"/>
              <w:rPr>
                <w:rFonts w:ascii="Times New Roman" w:hAnsi="Times New Roman"/>
                <w:i/>
                <w:sz w:val="28"/>
                <w:szCs w:val="28"/>
              </w:rPr>
            </w:pPr>
            <w:r w:rsidRPr="008A1838">
              <w:rPr>
                <w:rFonts w:ascii="Times New Roman" w:hAnsi="Times New Roman"/>
                <w:i/>
                <w:sz w:val="28"/>
                <w:szCs w:val="28"/>
              </w:rPr>
              <w:t>Донецк, Донецкая Народная Республика</w:t>
            </w:r>
          </w:p>
          <w:p w:rsidR="008A1838" w:rsidRPr="008A1838" w:rsidRDefault="008A1838" w:rsidP="008A1838">
            <w:pPr>
              <w:jc w:val="both"/>
              <w:rPr>
                <w:rFonts w:ascii="Times New Roman" w:hAnsi="Times New Roman"/>
                <w:i/>
                <w:sz w:val="28"/>
                <w:szCs w:val="28"/>
              </w:rPr>
            </w:pPr>
            <w:r w:rsidRPr="008A1838">
              <w:rPr>
                <w:rFonts w:ascii="Times New Roman" w:hAnsi="Times New Roman"/>
                <w:i/>
                <w:sz w:val="28"/>
                <w:szCs w:val="28"/>
                <w:lang w:val="en-US"/>
              </w:rPr>
              <w:t>V</w:t>
            </w:r>
            <w:r w:rsidRPr="008A1838">
              <w:rPr>
                <w:rFonts w:ascii="Times New Roman" w:hAnsi="Times New Roman"/>
                <w:i/>
                <w:sz w:val="28"/>
                <w:szCs w:val="28"/>
              </w:rPr>
              <w:t>. </w:t>
            </w:r>
            <w:r w:rsidRPr="008A1838">
              <w:rPr>
                <w:rFonts w:ascii="Times New Roman" w:hAnsi="Times New Roman"/>
                <w:i/>
                <w:sz w:val="28"/>
                <w:szCs w:val="28"/>
                <w:lang w:val="en-US"/>
              </w:rPr>
              <w:t>V</w:t>
            </w:r>
            <w:r w:rsidRPr="008A1838">
              <w:rPr>
                <w:rFonts w:ascii="Times New Roman" w:hAnsi="Times New Roman"/>
                <w:i/>
                <w:sz w:val="28"/>
                <w:szCs w:val="28"/>
              </w:rPr>
              <w:t xml:space="preserve">. </w:t>
            </w:r>
            <w:r w:rsidRPr="008A1838">
              <w:rPr>
                <w:rFonts w:ascii="Times New Roman" w:hAnsi="Times New Roman"/>
                <w:i/>
                <w:sz w:val="28"/>
                <w:szCs w:val="28"/>
                <w:lang w:val="en-US"/>
              </w:rPr>
              <w:t>Kolobova</w:t>
            </w:r>
            <w:r w:rsidRPr="008A1838">
              <w:rPr>
                <w:rFonts w:ascii="Times New Roman" w:hAnsi="Times New Roman"/>
                <w:i/>
                <w:sz w:val="28"/>
                <w:szCs w:val="28"/>
              </w:rPr>
              <w:t>,</w:t>
            </w:r>
          </w:p>
          <w:p w:rsidR="008A1838" w:rsidRPr="008A1838" w:rsidRDefault="008A1838" w:rsidP="008A1838">
            <w:pPr>
              <w:jc w:val="both"/>
              <w:rPr>
                <w:rFonts w:ascii="Times New Roman" w:hAnsi="Times New Roman"/>
                <w:i/>
                <w:sz w:val="28"/>
                <w:szCs w:val="28"/>
                <w:lang w:val="en-US"/>
              </w:rPr>
            </w:pPr>
            <w:r w:rsidRPr="008A1838">
              <w:rPr>
                <w:rFonts w:ascii="Times New Roman" w:hAnsi="Times New Roman"/>
                <w:i/>
                <w:sz w:val="28"/>
                <w:szCs w:val="28"/>
                <w:lang w:val="en-US"/>
              </w:rPr>
              <w:t>Donetsk National Technical University</w:t>
            </w:r>
          </w:p>
          <w:p w:rsidR="008A1838" w:rsidRPr="008A1838" w:rsidRDefault="008A1838" w:rsidP="008A1838">
            <w:pPr>
              <w:jc w:val="both"/>
              <w:rPr>
                <w:rFonts w:ascii="Times New Roman" w:hAnsi="Times New Roman"/>
                <w:sz w:val="28"/>
                <w:szCs w:val="28"/>
                <w:lang w:val="en-US"/>
              </w:rPr>
            </w:pPr>
            <w:r w:rsidRPr="008A1838">
              <w:rPr>
                <w:rFonts w:ascii="Times New Roman" w:hAnsi="Times New Roman"/>
                <w:i/>
                <w:sz w:val="28"/>
                <w:szCs w:val="28"/>
                <w:lang w:val="en-US"/>
              </w:rPr>
              <w:t>Donetsk,</w:t>
            </w:r>
            <w:r w:rsidRPr="008A1838">
              <w:rPr>
                <w:rFonts w:ascii="Times New Roman" w:hAnsi="Times New Roman"/>
                <w:b/>
                <w:bCs/>
                <w:i/>
                <w:iCs/>
                <w:sz w:val="24"/>
                <w:szCs w:val="24"/>
                <w:shd w:val="clear" w:color="auto" w:fill="FFFFFF"/>
                <w:lang w:val="en-US"/>
              </w:rPr>
              <w:t xml:space="preserve"> </w:t>
            </w:r>
            <w:r w:rsidRPr="008A1838">
              <w:rPr>
                <w:rFonts w:ascii="Times New Roman" w:hAnsi="Times New Roman"/>
                <w:bCs/>
                <w:i/>
                <w:sz w:val="28"/>
                <w:szCs w:val="24"/>
                <w:shd w:val="clear" w:color="auto" w:fill="FFFFFF"/>
                <w:lang w:val="en-US"/>
              </w:rPr>
              <w:t>Donetsk People's Republic</w:t>
            </w:r>
          </w:p>
        </w:tc>
      </w:tr>
      <w:tr w:rsidR="008A1838" w:rsidRPr="008A1838" w:rsidTr="00BB1D7C">
        <w:trPr>
          <w:jc w:val="center"/>
        </w:trPr>
        <w:tc>
          <w:tcPr>
            <w:tcW w:w="4241" w:type="dxa"/>
          </w:tcPr>
          <w:p w:rsidR="008A1838" w:rsidRPr="008A1838" w:rsidRDefault="008A1838" w:rsidP="008A1838">
            <w:pPr>
              <w:keepNext/>
              <w:keepLines/>
              <w:ind w:hanging="28"/>
              <w:jc w:val="center"/>
              <w:outlineLvl w:val="0"/>
              <w:rPr>
                <w:rFonts w:ascii="Times New Roman" w:hAnsi="Times New Roman"/>
                <w:b/>
                <w:bCs/>
                <w:caps/>
                <w:sz w:val="28"/>
                <w:szCs w:val="28"/>
                <w:shd w:val="clear" w:color="auto" w:fill="FFFFFF"/>
                <w:lang w:val="en-US"/>
              </w:rPr>
            </w:pPr>
          </w:p>
        </w:tc>
        <w:tc>
          <w:tcPr>
            <w:tcW w:w="5220" w:type="dxa"/>
          </w:tcPr>
          <w:p w:rsidR="008A1838" w:rsidRPr="008A1838" w:rsidRDefault="008A1838" w:rsidP="008A1838">
            <w:pPr>
              <w:widowControl w:val="0"/>
              <w:jc w:val="both"/>
              <w:rPr>
                <w:rFonts w:ascii="Times New Roman" w:hAnsi="Times New Roman"/>
                <w:sz w:val="28"/>
                <w:szCs w:val="24"/>
                <w:lang w:val="en-US"/>
              </w:rPr>
            </w:pPr>
          </w:p>
        </w:tc>
      </w:tr>
      <w:tr w:rsidR="008A1838" w:rsidRPr="008A1838" w:rsidTr="00BB1D7C">
        <w:trPr>
          <w:jc w:val="center"/>
        </w:trPr>
        <w:tc>
          <w:tcPr>
            <w:tcW w:w="9461" w:type="dxa"/>
            <w:gridSpan w:val="2"/>
          </w:tcPr>
          <w:p w:rsidR="008A1838" w:rsidRPr="008A1838" w:rsidRDefault="008A1838" w:rsidP="008A1838">
            <w:pPr>
              <w:keepNext/>
              <w:keepLines/>
              <w:ind w:hanging="28"/>
              <w:jc w:val="center"/>
              <w:outlineLvl w:val="0"/>
              <w:rPr>
                <w:rFonts w:ascii="Times New Roman" w:hAnsi="Times New Roman"/>
                <w:b/>
                <w:bCs/>
                <w:caps/>
                <w:sz w:val="28"/>
                <w:szCs w:val="28"/>
                <w:shd w:val="clear" w:color="auto" w:fill="FFFFFF"/>
              </w:rPr>
            </w:pPr>
            <w:bookmarkStart w:id="1" w:name="_Toc518846441"/>
            <w:r w:rsidRPr="008A1838">
              <w:rPr>
                <w:rFonts w:ascii="Times New Roman" w:hAnsi="Times New Roman"/>
                <w:b/>
                <w:bCs/>
                <w:caps/>
                <w:sz w:val="28"/>
                <w:szCs w:val="28"/>
                <w:shd w:val="clear" w:color="auto" w:fill="FFFFFF"/>
              </w:rPr>
              <w:t>ФАКТОРЫ, ОПРЕДЕЛЯЮЩИЕ ИНТЕГРАЦИОННУЮ СТРАТЕГИЮ МЕТАЛЛУРГИЧЕСКИХ КОМПАНИЙ В УСЛОВИЯХ НЕСТАБИЛЬНОСТИ ВНЕШНЕЙ СРЕДЫ</w:t>
            </w:r>
            <w:bookmarkEnd w:id="1"/>
          </w:p>
        </w:tc>
      </w:tr>
      <w:tr w:rsidR="008A1838" w:rsidRPr="008A1838" w:rsidTr="00BB1D7C">
        <w:trPr>
          <w:jc w:val="center"/>
        </w:trPr>
        <w:tc>
          <w:tcPr>
            <w:tcW w:w="9461" w:type="dxa"/>
            <w:gridSpan w:val="2"/>
          </w:tcPr>
          <w:p w:rsidR="008A1838" w:rsidRPr="008A1838" w:rsidRDefault="008A1838" w:rsidP="008A1838">
            <w:pPr>
              <w:jc w:val="center"/>
              <w:rPr>
                <w:rFonts w:ascii="Times New Roman" w:hAnsi="Times New Roman"/>
                <w:b/>
                <w:sz w:val="28"/>
                <w:szCs w:val="28"/>
              </w:rPr>
            </w:pPr>
          </w:p>
          <w:p w:rsidR="008A1838" w:rsidRPr="008A1838" w:rsidRDefault="008A1838" w:rsidP="008A1838">
            <w:pPr>
              <w:jc w:val="center"/>
              <w:rPr>
                <w:rFonts w:ascii="Times New Roman" w:hAnsi="Times New Roman"/>
                <w:sz w:val="28"/>
                <w:szCs w:val="24"/>
                <w:lang w:val="en-US"/>
              </w:rPr>
            </w:pPr>
            <w:r w:rsidRPr="008A1838">
              <w:rPr>
                <w:rFonts w:ascii="Times New Roman" w:hAnsi="Times New Roman"/>
                <w:b/>
                <w:sz w:val="28"/>
                <w:szCs w:val="28"/>
                <w:lang w:val="en-US"/>
              </w:rPr>
              <w:t>FACTORS THAT DETERMINE THE INTEGRATION STRATEGY OF STEEL COMPANIES IN AN UNSTABLE ENVIRONMENT</w:t>
            </w:r>
          </w:p>
        </w:tc>
      </w:tr>
      <w:tr w:rsidR="008A1838" w:rsidRPr="008A1838" w:rsidTr="00BB1D7C">
        <w:trPr>
          <w:jc w:val="center"/>
        </w:trPr>
        <w:tc>
          <w:tcPr>
            <w:tcW w:w="9461" w:type="dxa"/>
            <w:gridSpan w:val="2"/>
          </w:tcPr>
          <w:p w:rsidR="008A1838" w:rsidRPr="008A1838" w:rsidRDefault="008A1838" w:rsidP="008A1838">
            <w:pPr>
              <w:widowControl w:val="0"/>
              <w:shd w:val="clear" w:color="auto" w:fill="FFFFFF"/>
              <w:jc w:val="center"/>
              <w:rPr>
                <w:rFonts w:ascii="Times New Roman" w:hAnsi="Times New Roman"/>
                <w:b/>
                <w:sz w:val="28"/>
                <w:szCs w:val="28"/>
                <w:lang w:val="en-US"/>
              </w:rPr>
            </w:pPr>
          </w:p>
        </w:tc>
      </w:tr>
    </w:tbl>
    <w:p w:rsidR="008A1838" w:rsidRPr="008A1838" w:rsidRDefault="008A1838" w:rsidP="008A1838">
      <w:pPr>
        <w:spacing w:after="0" w:line="240" w:lineRule="auto"/>
        <w:ind w:firstLine="709"/>
        <w:jc w:val="both"/>
        <w:rPr>
          <w:rFonts w:ascii="Times New Roman" w:eastAsia="Times New Roman" w:hAnsi="Times New Roman" w:cs="Times New Roman"/>
          <w:i/>
          <w:sz w:val="24"/>
          <w:szCs w:val="24"/>
          <w:lang w:eastAsia="ru-RU"/>
        </w:rPr>
      </w:pPr>
      <w:r w:rsidRPr="008A1838">
        <w:rPr>
          <w:rFonts w:ascii="Times New Roman" w:eastAsia="Times New Roman" w:hAnsi="Times New Roman" w:cs="Times New Roman"/>
          <w:i/>
          <w:sz w:val="24"/>
          <w:szCs w:val="24"/>
          <w:lang w:eastAsia="ru-RU"/>
        </w:rPr>
        <w:t>Аннотация.</w:t>
      </w:r>
      <w:r w:rsidRPr="008A1838">
        <w:rPr>
          <w:rFonts w:ascii="Times New Roman" w:eastAsia="Times New Roman" w:hAnsi="Times New Roman" w:cs="Times New Roman"/>
          <w:sz w:val="24"/>
          <w:szCs w:val="24"/>
          <w:lang w:eastAsia="ru-RU"/>
        </w:rPr>
        <w:t xml:space="preserve"> </w:t>
      </w:r>
      <w:r w:rsidRPr="008A1838">
        <w:rPr>
          <w:rFonts w:ascii="Times New Roman" w:eastAsia="Times New Roman" w:hAnsi="Times New Roman" w:cs="Times New Roman"/>
          <w:i/>
          <w:sz w:val="24"/>
          <w:szCs w:val="24"/>
          <w:lang w:eastAsia="ru-RU"/>
        </w:rPr>
        <w:t>В статье рассматриваются основные факторы, определяющие интеграционную стратегию металлургических компаний с учетом современных тенденций развития мировой металлургии. Определены основные предпосылки активизации интеграционных процессов в горно-металлургическом комплексе и перспективные направления интеграционного развития с учетом отраслевой специфики.</w:t>
      </w:r>
    </w:p>
    <w:p w:rsidR="008A1838" w:rsidRPr="008A1838" w:rsidRDefault="008A1838" w:rsidP="008A1838">
      <w:pPr>
        <w:spacing w:after="0" w:line="240" w:lineRule="auto"/>
        <w:ind w:firstLine="709"/>
        <w:jc w:val="both"/>
        <w:rPr>
          <w:rFonts w:ascii="Times New Roman" w:eastAsia="Times New Roman" w:hAnsi="Times New Roman" w:cs="Times New Roman"/>
          <w:i/>
          <w:sz w:val="24"/>
          <w:szCs w:val="24"/>
          <w:lang w:eastAsia="ru-RU"/>
        </w:rPr>
      </w:pPr>
      <w:r w:rsidRPr="008A1838">
        <w:rPr>
          <w:rFonts w:ascii="Times New Roman" w:eastAsia="Times New Roman" w:hAnsi="Times New Roman" w:cs="Times New Roman"/>
          <w:i/>
          <w:sz w:val="24"/>
          <w:szCs w:val="24"/>
          <w:lang w:eastAsia="ru-RU"/>
        </w:rPr>
        <w:t>Ключевые слова: интеграция, развитие, стратегия, металлургия, цикличность, нестабильность среды.</w:t>
      </w:r>
    </w:p>
    <w:p w:rsidR="008A1838" w:rsidRPr="008A1838" w:rsidRDefault="008A1838" w:rsidP="008A1838">
      <w:pPr>
        <w:spacing w:after="0" w:line="240" w:lineRule="auto"/>
        <w:ind w:firstLine="709"/>
        <w:jc w:val="both"/>
        <w:rPr>
          <w:rFonts w:ascii="Times New Roman" w:eastAsia="Times New Roman" w:hAnsi="Times New Roman" w:cs="Times New Roman"/>
          <w:bCs/>
          <w:color w:val="000000"/>
          <w:sz w:val="28"/>
          <w:szCs w:val="28"/>
          <w:lang w:eastAsia="ru-RU"/>
        </w:rPr>
      </w:pPr>
    </w:p>
    <w:p w:rsidR="008A1838" w:rsidRPr="008A1838" w:rsidRDefault="008A1838" w:rsidP="008A1838">
      <w:pPr>
        <w:spacing w:after="0" w:line="240" w:lineRule="auto"/>
        <w:ind w:firstLine="709"/>
        <w:jc w:val="both"/>
        <w:rPr>
          <w:rFonts w:ascii="Times New Roman" w:eastAsia="Times New Roman" w:hAnsi="Times New Roman" w:cs="Times New Roman"/>
          <w:bCs/>
          <w:i/>
          <w:color w:val="000000"/>
          <w:sz w:val="24"/>
          <w:szCs w:val="24"/>
          <w:lang w:val="en-US" w:eastAsia="ru-RU"/>
        </w:rPr>
      </w:pPr>
      <w:r w:rsidRPr="008A1838">
        <w:rPr>
          <w:rFonts w:ascii="Times New Roman" w:eastAsia="Times New Roman" w:hAnsi="Times New Roman" w:cs="Times New Roman"/>
          <w:i/>
          <w:sz w:val="24"/>
          <w:szCs w:val="24"/>
          <w:lang w:val="en-US" w:eastAsia="ru-RU"/>
        </w:rPr>
        <w:t>Abstract</w:t>
      </w:r>
      <w:r w:rsidRPr="008A1838">
        <w:rPr>
          <w:rFonts w:ascii="Times New Roman" w:eastAsia="Times New Roman" w:hAnsi="Times New Roman" w:cs="Times New Roman"/>
          <w:bCs/>
          <w:i/>
          <w:color w:val="000000"/>
          <w:sz w:val="24"/>
          <w:szCs w:val="24"/>
          <w:lang w:val="en-US" w:eastAsia="ru-RU"/>
        </w:rPr>
        <w:t>.</w:t>
      </w:r>
      <w:r w:rsidRPr="008A1838">
        <w:rPr>
          <w:rFonts w:ascii="Times New Roman" w:eastAsia="Times New Roman" w:hAnsi="Times New Roman" w:cs="Times New Roman"/>
          <w:sz w:val="24"/>
          <w:szCs w:val="24"/>
          <w:lang w:val="en-US" w:eastAsia="ru-RU"/>
        </w:rPr>
        <w:t xml:space="preserve"> </w:t>
      </w:r>
      <w:r w:rsidRPr="008A1838">
        <w:rPr>
          <w:rFonts w:ascii="Times New Roman" w:eastAsia="Times New Roman" w:hAnsi="Times New Roman" w:cs="Times New Roman"/>
          <w:bCs/>
          <w:i/>
          <w:color w:val="000000"/>
          <w:sz w:val="24"/>
          <w:szCs w:val="24"/>
          <w:lang w:val="en-US" w:eastAsia="ru-RU"/>
        </w:rPr>
        <w:t>This article discusses the main factors determining the integration strategy of modern steelcompanies, taking into account modern trends in the development of world metallurgy. The main prerequisites for activation of integration processes in the mining and metallurgical complex and promising areas of integration development, taking into account industry specificity, are determined.</w:t>
      </w:r>
    </w:p>
    <w:p w:rsidR="008A1838" w:rsidRPr="008A1838" w:rsidRDefault="008A1838" w:rsidP="008A1838">
      <w:pPr>
        <w:spacing w:after="0" w:line="240" w:lineRule="auto"/>
        <w:ind w:firstLine="709"/>
        <w:jc w:val="both"/>
        <w:rPr>
          <w:rFonts w:ascii="Times New Roman" w:eastAsia="Times New Roman" w:hAnsi="Times New Roman" w:cs="Times New Roman"/>
          <w:bCs/>
          <w:i/>
          <w:color w:val="000000"/>
          <w:sz w:val="24"/>
          <w:szCs w:val="24"/>
          <w:lang w:val="en-US" w:eastAsia="ru-RU"/>
        </w:rPr>
      </w:pPr>
      <w:r w:rsidRPr="008A1838">
        <w:rPr>
          <w:rFonts w:ascii="Times New Roman" w:eastAsia="Times New Roman" w:hAnsi="Times New Roman" w:cs="Times New Roman"/>
          <w:bCs/>
          <w:i/>
          <w:color w:val="000000"/>
          <w:sz w:val="24"/>
          <w:szCs w:val="24"/>
          <w:lang w:val="en-US" w:eastAsia="ru-RU"/>
        </w:rPr>
        <w:t>Keywords:</w:t>
      </w:r>
      <w:r w:rsidRPr="008A1838">
        <w:rPr>
          <w:rFonts w:ascii="Times New Roman" w:eastAsia="Times New Roman" w:hAnsi="Times New Roman" w:cs="Times New Roman"/>
          <w:sz w:val="24"/>
          <w:szCs w:val="24"/>
          <w:lang w:val="en-US" w:eastAsia="ru-RU"/>
        </w:rPr>
        <w:t xml:space="preserve"> </w:t>
      </w:r>
      <w:r w:rsidRPr="008A1838">
        <w:rPr>
          <w:rFonts w:ascii="Times New Roman" w:eastAsia="Times New Roman" w:hAnsi="Times New Roman" w:cs="Times New Roman"/>
          <w:bCs/>
          <w:i/>
          <w:color w:val="000000"/>
          <w:sz w:val="24"/>
          <w:szCs w:val="24"/>
          <w:lang w:val="en-US" w:eastAsia="ru-RU"/>
        </w:rPr>
        <w:t>integration,</w:t>
      </w:r>
      <w:r w:rsidRPr="008A1838">
        <w:rPr>
          <w:rFonts w:ascii="Times New Roman" w:eastAsia="Times New Roman" w:hAnsi="Times New Roman" w:cs="Times New Roman"/>
          <w:sz w:val="24"/>
          <w:szCs w:val="24"/>
          <w:lang w:val="en-US" w:eastAsia="ru-RU"/>
        </w:rPr>
        <w:t xml:space="preserve"> </w:t>
      </w:r>
      <w:r w:rsidRPr="008A1838">
        <w:rPr>
          <w:rFonts w:ascii="Times New Roman" w:eastAsia="Times New Roman" w:hAnsi="Times New Roman" w:cs="Times New Roman"/>
          <w:bCs/>
          <w:i/>
          <w:color w:val="000000"/>
          <w:sz w:val="24"/>
          <w:szCs w:val="24"/>
          <w:lang w:val="en-US" w:eastAsia="ru-RU"/>
        </w:rPr>
        <w:t>development, strategy, metallurgy, cyclicity, unstable environment.</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val="en-US" w:eastAsia="ru-RU"/>
        </w:rPr>
      </w:pPr>
    </w:p>
    <w:p w:rsidR="008A1838" w:rsidRPr="008A1838" w:rsidRDefault="008A1838" w:rsidP="008A1838">
      <w:pPr>
        <w:tabs>
          <w:tab w:val="left" w:pos="462"/>
        </w:tabs>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b/>
          <w:sz w:val="28"/>
          <w:szCs w:val="28"/>
          <w:lang w:eastAsia="ru-RU"/>
        </w:rPr>
        <w:t xml:space="preserve">Постановка проблемы. </w:t>
      </w:r>
      <w:r w:rsidRPr="008A1838">
        <w:rPr>
          <w:rFonts w:ascii="Times New Roman" w:eastAsia="Times New Roman" w:hAnsi="Times New Roman" w:cs="Times New Roman"/>
          <w:sz w:val="28"/>
          <w:szCs w:val="28"/>
          <w:lang w:eastAsia="ru-RU"/>
        </w:rPr>
        <w:t>Интеграционные стратегии металлургических компаний в значительной мере определяются основными тенденциями развития мирового металлургического рынка</w:t>
      </w:r>
      <w:r w:rsidRPr="008A1838">
        <w:rPr>
          <w:rFonts w:ascii="Times New Roman" w:eastAsia="Times New Roman" w:hAnsi="Times New Roman" w:cs="Times New Roman"/>
          <w:b/>
          <w:sz w:val="28"/>
          <w:szCs w:val="28"/>
          <w:lang w:eastAsia="ru-RU"/>
        </w:rPr>
        <w:t xml:space="preserve">. </w:t>
      </w:r>
      <w:r w:rsidRPr="008A1838">
        <w:rPr>
          <w:rFonts w:ascii="Times New Roman" w:eastAsia="Times New Roman" w:hAnsi="Times New Roman" w:cs="Times New Roman"/>
          <w:sz w:val="28"/>
          <w:szCs w:val="28"/>
          <w:lang w:eastAsia="ru-RU"/>
        </w:rPr>
        <w:t>Мировой рынок стали находится сейчас в нестабильном состоянии. С конца 2017 г. цены на стальную продукцию на многих рынках вышли на докризисный уровень 2013-2014 гг. Рынок начал 2018 г. на повышении. Однако в дальнейшем ситуация изменилась. Пройдя пик подъема в марте, цены снова оказались на нисходящей траектории [1]. Сложившаяся кризисная ситуация в металлургии обусловлена рядом причин, среди которых перепроизводство, экспортная активность Китая, усиление защитных мер ряда стран от импорта металлопродукции и т.д. Нестабильность и непредсказуемость обстановки снижают покупательскую активность и соответственно оказывают давление на цены. Реализация интеграционных стратегий позволяет металлургическим компаниям снизить расходы, повысить технологический и технический уровень производства, освоить новые виды продукции и за счет этого оставаться конкурентоспособными на рынке.</w:t>
      </w:r>
    </w:p>
    <w:p w:rsidR="008A1838" w:rsidRPr="008A1838" w:rsidRDefault="008A1838" w:rsidP="008A1838">
      <w:pPr>
        <w:tabs>
          <w:tab w:val="left" w:pos="462"/>
        </w:tabs>
        <w:spacing w:after="0" w:line="240" w:lineRule="auto"/>
        <w:ind w:firstLine="709"/>
        <w:jc w:val="both"/>
        <w:rPr>
          <w:rFonts w:ascii="Times New Roman" w:eastAsia="Times New Roman" w:hAnsi="Times New Roman" w:cs="Times New Roman"/>
          <w:sz w:val="28"/>
          <w:szCs w:val="28"/>
          <w:highlight w:val="yellow"/>
          <w:lang w:eastAsia="ru-RU"/>
        </w:rPr>
      </w:pPr>
      <w:r w:rsidRPr="008A1838">
        <w:rPr>
          <w:rFonts w:ascii="Times New Roman" w:eastAsia="Times New Roman" w:hAnsi="Times New Roman" w:cs="Times New Roman"/>
          <w:b/>
          <w:sz w:val="28"/>
          <w:szCs w:val="28"/>
          <w:lang w:eastAsia="ru-RU"/>
        </w:rPr>
        <w:lastRenderedPageBreak/>
        <w:t>Анализ предыдущих исследований и публикаций.</w:t>
      </w:r>
      <w:r w:rsidRPr="008A1838">
        <w:rPr>
          <w:rFonts w:ascii="Times New Roman" w:eastAsia="Times New Roman" w:hAnsi="Times New Roman" w:cs="Times New Roman"/>
          <w:sz w:val="28"/>
          <w:szCs w:val="28"/>
          <w:lang w:eastAsia="ru-RU"/>
        </w:rPr>
        <w:t xml:space="preserve"> Основные тенденции и перспективы развития мировой и российской металлургии рассматриваются в трудах Ю. Л. Адно, И. А. Буданова, О. А. Романовой.   Вопросы развития интеграционных процессов в металлургической отрасли рассматриваются в научных работах А. В. Соколова, Л. И. Лугачевой и М. М. Мусатовой, а также Ю. А. Архиповой. При этом, учитывая нестабильность и цикличность современного рынка металлургической продукции, следует уделить внимание изучению факторов, определяющих перспективные направления интеграции металлургических компаний с целью повышения эффективности их деятельности. </w:t>
      </w:r>
    </w:p>
    <w:p w:rsidR="008A1838" w:rsidRPr="008A1838" w:rsidRDefault="008A1838" w:rsidP="008A1838">
      <w:pPr>
        <w:widowControl w:val="0"/>
        <w:tabs>
          <w:tab w:val="left" w:pos="462"/>
        </w:tabs>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b/>
          <w:sz w:val="28"/>
          <w:szCs w:val="28"/>
          <w:lang w:eastAsia="ru-RU"/>
        </w:rPr>
        <w:t xml:space="preserve">Цель исследования </w:t>
      </w:r>
      <w:r w:rsidRPr="008A1838">
        <w:rPr>
          <w:rFonts w:ascii="Times New Roman" w:eastAsia="Times New Roman" w:hAnsi="Times New Roman" w:cs="Times New Roman"/>
          <w:sz w:val="28"/>
          <w:szCs w:val="28"/>
          <w:lang w:eastAsia="ru-RU"/>
        </w:rPr>
        <w:t>состоит в изучении основных факторов, определяющих направления интеграционного развития металлургических компаний в современных условиях нестабильности внешней среды.</w:t>
      </w:r>
    </w:p>
    <w:p w:rsidR="008A1838" w:rsidRPr="008A1838" w:rsidRDefault="008A1838" w:rsidP="008A1838">
      <w:pPr>
        <w:tabs>
          <w:tab w:val="left" w:pos="462"/>
        </w:tabs>
        <w:spacing w:after="0" w:line="240" w:lineRule="auto"/>
        <w:ind w:firstLine="709"/>
        <w:jc w:val="both"/>
        <w:rPr>
          <w:rFonts w:ascii="Times New Roman" w:eastAsia="Times New Roman" w:hAnsi="Times New Roman" w:cs="Times New Roman"/>
          <w:b/>
          <w:sz w:val="28"/>
          <w:szCs w:val="28"/>
          <w:lang w:eastAsia="ru-RU"/>
        </w:rPr>
      </w:pPr>
      <w:r w:rsidRPr="008A1838">
        <w:rPr>
          <w:rFonts w:ascii="Times New Roman" w:eastAsia="Times New Roman" w:hAnsi="Times New Roman" w:cs="Times New Roman"/>
          <w:b/>
          <w:sz w:val="28"/>
          <w:szCs w:val="28"/>
          <w:lang w:eastAsia="ru-RU"/>
        </w:rPr>
        <w:t xml:space="preserve">Основные результаты исследования. </w:t>
      </w:r>
      <w:r w:rsidRPr="008A1838">
        <w:rPr>
          <w:rFonts w:ascii="Times New Roman" w:eastAsia="Times New Roman" w:hAnsi="Times New Roman" w:cs="Times New Roman"/>
          <w:sz w:val="28"/>
          <w:szCs w:val="28"/>
          <w:lang w:eastAsia="ru-RU"/>
        </w:rPr>
        <w:t>По мнению специалистов Всемирной ассоциации производителей стали, металлургическая отрасль остается одним из ключевых секторов,  влияющих на развитие мировой экономики. Это объясняется тем, что металл как основной материал для производства средств производства имеет важное значение для функционирования и развития практически всех отраслей современного хозяйства и видов экономической деятельности. Именно поэтому большинство стран, владеющих сырьевыми ресурсами,  поддерживают и развивают производство металлургической продукции как одно из перспективных направлений развития национальных хозяйственных систем.</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Одной из ведущих тенденций, которая характеризует развитие мировой металлургии, является стремительный рост объемов производства стали в мире, что свидетельствует о значимости черной металлургии и о ее устойчивом развитии. Страны-лидеры по объемам производства стали за период 2003-2017 гг. приведены в табл.1.</w:t>
      </w:r>
    </w:p>
    <w:p w:rsidR="008A1838" w:rsidRPr="008A1838" w:rsidRDefault="008A1838" w:rsidP="008A1838">
      <w:pPr>
        <w:spacing w:after="0" w:line="240" w:lineRule="auto"/>
        <w:ind w:firstLine="709"/>
        <w:jc w:val="right"/>
        <w:rPr>
          <w:rFonts w:ascii="Times New Roman" w:eastAsia="Times New Roman" w:hAnsi="Times New Roman" w:cs="Times New Roman"/>
          <w:sz w:val="28"/>
          <w:szCs w:val="24"/>
          <w:lang w:eastAsia="ru-RU"/>
        </w:rPr>
      </w:pPr>
      <w:r w:rsidRPr="008A1838">
        <w:rPr>
          <w:rFonts w:ascii="Times New Roman" w:eastAsia="Times New Roman" w:hAnsi="Times New Roman" w:cs="Times New Roman"/>
          <w:sz w:val="28"/>
          <w:szCs w:val="24"/>
          <w:lang w:eastAsia="ru-RU"/>
        </w:rPr>
        <w:t>Таблица 1</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4"/>
          <w:lang w:eastAsia="ru-RU"/>
        </w:rPr>
      </w:pPr>
      <w:r w:rsidRPr="008A1838">
        <w:rPr>
          <w:rFonts w:ascii="Times New Roman" w:eastAsia="Times New Roman" w:hAnsi="Times New Roman" w:cs="Times New Roman"/>
          <w:sz w:val="28"/>
          <w:szCs w:val="24"/>
          <w:lang w:eastAsia="ru-RU"/>
        </w:rPr>
        <w:t>Лидеры по объемам производства стали за период 2003-2017 гг. [2]</w:t>
      </w:r>
    </w:p>
    <w:tbl>
      <w:tblPr>
        <w:tblW w:w="94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992"/>
        <w:gridCol w:w="992"/>
        <w:gridCol w:w="992"/>
        <w:gridCol w:w="993"/>
        <w:gridCol w:w="1275"/>
        <w:gridCol w:w="1276"/>
        <w:gridCol w:w="1276"/>
      </w:tblGrid>
      <w:tr w:rsidR="008A1838" w:rsidRPr="008A1838" w:rsidTr="00BB1D7C">
        <w:trPr>
          <w:jc w:val="center"/>
        </w:trPr>
        <w:tc>
          <w:tcPr>
            <w:tcW w:w="1668" w:type="dxa"/>
            <w:vMerge w:val="restart"/>
            <w:tcBorders>
              <w:top w:val="single" w:sz="4" w:space="0" w:color="auto"/>
              <w:left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Страна</w:t>
            </w:r>
          </w:p>
        </w:tc>
        <w:tc>
          <w:tcPr>
            <w:tcW w:w="3969" w:type="dxa"/>
            <w:gridSpan w:val="4"/>
            <w:tcBorders>
              <w:top w:val="single" w:sz="4" w:space="0" w:color="auto"/>
              <w:left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Объемы производства, млн. т</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Темп изменения, %</w:t>
            </w:r>
          </w:p>
        </w:tc>
      </w:tr>
      <w:tr w:rsidR="008A1838" w:rsidRPr="008A1838" w:rsidTr="00BB1D7C">
        <w:trPr>
          <w:jc w:val="center"/>
        </w:trPr>
        <w:tc>
          <w:tcPr>
            <w:tcW w:w="1668" w:type="dxa"/>
            <w:vMerge/>
            <w:tcBorders>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both"/>
              <w:rPr>
                <w:rFonts w:ascii="Times New Roman" w:eastAsia="Times New Roman" w:hAnsi="Times New Roman" w:cs="Times New Roman"/>
                <w:b/>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2003</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both"/>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2017/2003</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both"/>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color w:val="000000"/>
                <w:sz w:val="24"/>
                <w:szCs w:val="24"/>
                <w:lang w:eastAsia="ru-RU"/>
              </w:rPr>
              <w:t>2016/2015</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both"/>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color w:val="000000"/>
                <w:sz w:val="24"/>
                <w:szCs w:val="24"/>
                <w:lang w:eastAsia="ru-RU"/>
              </w:rPr>
              <w:t>2017/2016</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Китай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222,4</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803,8</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808,4</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831,7</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374,0</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100,6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102,9</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Япония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110,5</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105,2</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104,8</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104,7</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94,8</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99,6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99,9</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Индия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31,8</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89,6</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95,6</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101,4</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318,9</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106,7</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106,1</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США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93,7</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78,9</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78,6</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81,6</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87,1</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99,6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103,8</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Россия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61,5</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71,1</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70,8</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71,3</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115,9</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99,6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100,7</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Южная Корея</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46,3</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69,7</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68,6</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71,1</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153,6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98,4</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103,6</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Германия</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44,8</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42,7</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42,1</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43,6</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97,3</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98,6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103,6</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Турция</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18,0</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31,5</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33,2</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37,5</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208,3</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105,4</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113,0</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Бразилия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31,1</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33,3</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30,2</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34,4</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110,6</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90,7</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113,9</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sz w:val="24"/>
                <w:szCs w:val="24"/>
                <w:lang w:eastAsia="ru-RU"/>
              </w:rPr>
            </w:pPr>
            <w:r w:rsidRPr="008A1838">
              <w:rPr>
                <w:rFonts w:ascii="Times New Roman" w:eastAsia="Times New Roman" w:hAnsi="Times New Roman" w:cs="Times New Roman"/>
                <w:color w:val="000000"/>
                <w:sz w:val="24"/>
                <w:szCs w:val="24"/>
                <w:lang w:eastAsia="ru-RU"/>
              </w:rPr>
              <w:t xml:space="preserve">Украина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36,9</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22,9</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24,2</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22,7</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sz w:val="24"/>
                <w:szCs w:val="24"/>
                <w:lang w:eastAsia="ru-RU"/>
              </w:rPr>
            </w:pPr>
            <w:r w:rsidRPr="008A1838">
              <w:rPr>
                <w:rFonts w:ascii="Times New Roman" w:eastAsia="Times New Roman" w:hAnsi="Times New Roman" w:cs="Times New Roman"/>
                <w:sz w:val="24"/>
                <w:szCs w:val="24"/>
                <w:lang w:eastAsia="ru-RU"/>
              </w:rPr>
              <w:t>61,5</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105,7</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color w:val="000000"/>
                <w:sz w:val="24"/>
                <w:szCs w:val="24"/>
                <w:lang w:eastAsia="ru-RU"/>
              </w:rPr>
            </w:pPr>
            <w:r w:rsidRPr="008A1838">
              <w:rPr>
                <w:rFonts w:ascii="Times New Roman" w:eastAsia="Times New Roman" w:hAnsi="Times New Roman" w:cs="Times New Roman"/>
                <w:color w:val="000000"/>
                <w:sz w:val="24"/>
                <w:szCs w:val="24"/>
                <w:lang w:eastAsia="ru-RU"/>
              </w:rPr>
              <w:t>93,8</w:t>
            </w:r>
          </w:p>
        </w:tc>
      </w:tr>
      <w:tr w:rsidR="008A1838" w:rsidRPr="008A1838" w:rsidTr="00BB1D7C">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8A1838" w:rsidRPr="008A1838" w:rsidRDefault="008A1838" w:rsidP="008A1838">
            <w:pPr>
              <w:spacing w:after="0" w:line="240" w:lineRule="auto"/>
              <w:jc w:val="both"/>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color w:val="000000"/>
                <w:sz w:val="24"/>
                <w:szCs w:val="24"/>
                <w:lang w:eastAsia="ru-RU"/>
              </w:rPr>
              <w:t xml:space="preserve">Мир </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sz w:val="24"/>
                <w:szCs w:val="24"/>
                <w:lang w:eastAsia="ru-RU"/>
              </w:rPr>
              <w:t>969,7</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1620,4</w:t>
            </w:r>
          </w:p>
        </w:tc>
        <w:tc>
          <w:tcPr>
            <w:tcW w:w="992"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sz w:val="24"/>
                <w:szCs w:val="24"/>
                <w:lang w:eastAsia="ru-RU"/>
              </w:rPr>
              <w:t>1628,0</w:t>
            </w:r>
          </w:p>
        </w:tc>
        <w:tc>
          <w:tcPr>
            <w:tcW w:w="993"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sz w:val="24"/>
                <w:szCs w:val="24"/>
                <w:lang w:eastAsia="ru-RU"/>
              </w:rPr>
              <w:t>1691,2</w:t>
            </w:r>
          </w:p>
        </w:tc>
        <w:tc>
          <w:tcPr>
            <w:tcW w:w="1275" w:type="dxa"/>
            <w:tcBorders>
              <w:top w:val="single" w:sz="4" w:space="0" w:color="auto"/>
              <w:left w:val="single" w:sz="4" w:space="0" w:color="auto"/>
              <w:bottom w:val="single" w:sz="4" w:space="0" w:color="auto"/>
              <w:right w:val="single" w:sz="4" w:space="0" w:color="auto"/>
            </w:tcBorders>
          </w:tcPr>
          <w:p w:rsidR="008A1838" w:rsidRPr="008A1838" w:rsidRDefault="008A1838" w:rsidP="008A1838">
            <w:pPr>
              <w:spacing w:after="0" w:line="240" w:lineRule="auto"/>
              <w:jc w:val="center"/>
              <w:rPr>
                <w:rFonts w:ascii="Times New Roman" w:eastAsia="Times New Roman" w:hAnsi="Times New Roman" w:cs="Times New Roman"/>
                <w:b/>
                <w:sz w:val="24"/>
                <w:szCs w:val="24"/>
                <w:lang w:eastAsia="ru-RU"/>
              </w:rPr>
            </w:pPr>
            <w:r w:rsidRPr="008A1838">
              <w:rPr>
                <w:rFonts w:ascii="Times New Roman" w:eastAsia="Times New Roman" w:hAnsi="Times New Roman" w:cs="Times New Roman"/>
                <w:b/>
                <w:sz w:val="24"/>
                <w:szCs w:val="24"/>
                <w:lang w:eastAsia="ru-RU"/>
              </w:rPr>
              <w:t>174,4</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100,5</w:t>
            </w:r>
          </w:p>
        </w:tc>
        <w:tc>
          <w:tcPr>
            <w:tcW w:w="1276" w:type="dxa"/>
            <w:tcBorders>
              <w:top w:val="single" w:sz="4" w:space="0" w:color="auto"/>
              <w:left w:val="single" w:sz="4" w:space="0" w:color="auto"/>
              <w:bottom w:val="single" w:sz="4" w:space="0" w:color="auto"/>
              <w:right w:val="single" w:sz="4" w:space="0" w:color="auto"/>
            </w:tcBorders>
            <w:vAlign w:val="center"/>
          </w:tcPr>
          <w:p w:rsidR="008A1838" w:rsidRPr="008A1838" w:rsidRDefault="008A1838" w:rsidP="008A1838">
            <w:pPr>
              <w:spacing w:after="0" w:line="240" w:lineRule="auto"/>
              <w:jc w:val="center"/>
              <w:rPr>
                <w:rFonts w:ascii="Times New Roman" w:eastAsia="Times New Roman" w:hAnsi="Times New Roman" w:cs="Times New Roman"/>
                <w:b/>
                <w:color w:val="000000"/>
                <w:sz w:val="24"/>
                <w:szCs w:val="24"/>
                <w:lang w:eastAsia="ru-RU"/>
              </w:rPr>
            </w:pPr>
            <w:r w:rsidRPr="008A1838">
              <w:rPr>
                <w:rFonts w:ascii="Times New Roman" w:eastAsia="Times New Roman" w:hAnsi="Times New Roman" w:cs="Times New Roman"/>
                <w:b/>
                <w:color w:val="000000"/>
                <w:sz w:val="24"/>
                <w:szCs w:val="24"/>
                <w:lang w:eastAsia="ru-RU"/>
              </w:rPr>
              <w:t>103,9</w:t>
            </w:r>
          </w:p>
        </w:tc>
      </w:tr>
    </w:tbl>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В 2015 г. производство и потребление стали стало резко сокращаться, что отражено на рис. 1-2. Такое снижение обусловлено рядом </w:t>
      </w:r>
      <w:r w:rsidRPr="008A1838">
        <w:rPr>
          <w:rFonts w:ascii="Times New Roman" w:eastAsia="Times New Roman" w:hAnsi="Times New Roman" w:cs="Times New Roman"/>
          <w:sz w:val="28"/>
          <w:szCs w:val="28"/>
          <w:lang w:eastAsia="ru-RU"/>
        </w:rPr>
        <w:lastRenderedPageBreak/>
        <w:t xml:space="preserve">предшествовавших факторов, в том числе перепроизводство, подъем экспортной активности Китая, волатильность на финансовых и сырьевых рынках, усиление защитных мер ряда стран от импорта металлопродукции и др. </w:t>
      </w:r>
    </w:p>
    <w:p w:rsidR="008A1838" w:rsidRPr="008A1838" w:rsidRDefault="008A1838" w:rsidP="008A1838">
      <w:pPr>
        <w:spacing w:after="0" w:line="240" w:lineRule="auto"/>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noProof/>
          <w:sz w:val="28"/>
          <w:szCs w:val="24"/>
          <w:lang w:eastAsia="ru-RU"/>
        </w:rPr>
        <w:drawing>
          <wp:inline distT="0" distB="0" distL="0" distR="0" wp14:anchorId="5EC45181" wp14:editId="2C77A25F">
            <wp:extent cx="6115050" cy="2924175"/>
            <wp:effectExtent l="0" t="0" r="0" b="0"/>
            <wp:docPr id="360" name="Диаграмма 3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A1838" w:rsidRPr="008A1838" w:rsidRDefault="008A1838" w:rsidP="008A1838">
      <w:pPr>
        <w:spacing w:after="0" w:line="240" w:lineRule="auto"/>
        <w:ind w:firstLine="284"/>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Рис. 1. Динамика производства стали в мире за период 2010-2017 гг. [2]</w:t>
      </w:r>
    </w:p>
    <w:p w:rsidR="008A1838" w:rsidRPr="008A1838" w:rsidRDefault="008A1838" w:rsidP="008A1838">
      <w:pPr>
        <w:spacing w:after="0" w:line="240" w:lineRule="auto"/>
        <w:ind w:firstLine="709"/>
        <w:jc w:val="center"/>
        <w:rPr>
          <w:rFonts w:ascii="Times New Roman" w:eastAsia="Times New Roman" w:hAnsi="Times New Roman" w:cs="Times New Roman"/>
          <w:sz w:val="28"/>
          <w:szCs w:val="28"/>
          <w:lang w:eastAsia="ru-RU"/>
        </w:rPr>
      </w:pPr>
    </w:p>
    <w:p w:rsidR="008A1838" w:rsidRPr="008A1838" w:rsidRDefault="008A1838" w:rsidP="008A1838">
      <w:pPr>
        <w:spacing w:after="0" w:line="240" w:lineRule="auto"/>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noProof/>
          <w:sz w:val="28"/>
          <w:szCs w:val="24"/>
          <w:lang w:eastAsia="ru-RU"/>
        </w:rPr>
        <w:drawing>
          <wp:inline distT="0" distB="0" distL="0" distR="0" wp14:anchorId="049CEE8E" wp14:editId="13788179">
            <wp:extent cx="6124575" cy="3464560"/>
            <wp:effectExtent l="0" t="0" r="0" b="2540"/>
            <wp:docPr id="359" name="Диаграмма 3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1838" w:rsidRPr="008A1838" w:rsidRDefault="008A1838" w:rsidP="008A1838">
      <w:pPr>
        <w:spacing w:after="0" w:line="240" w:lineRule="auto"/>
        <w:ind w:firstLine="426"/>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Рис. 2. Динамика потребления стали в мире за период 2010-2017 гг. [2]</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Поскольку отрасль металлургии подвержена влиянию колебаний делового цикла, возникает вопрос о связи стратегии металлургических компаний с периодом делового цикла в металлургической отрасли. Считается, что металлургия обладает признаками цикличности по двум причинам: во-первых, предложение металла на рынке является неэластичным по цене, а во- </w:t>
      </w:r>
      <w:r w:rsidRPr="008A1838">
        <w:rPr>
          <w:rFonts w:ascii="Times New Roman" w:eastAsia="Times New Roman" w:hAnsi="Times New Roman" w:cs="Times New Roman"/>
          <w:sz w:val="28"/>
          <w:szCs w:val="28"/>
          <w:lang w:eastAsia="ru-RU"/>
        </w:rPr>
        <w:lastRenderedPageBreak/>
        <w:t xml:space="preserve">вторых, спрос на металлы сильно связан с промышленным производством, которое, в свою очередь, подвержено влиянию делового цикла в экономике [3]. </w:t>
      </w:r>
    </w:p>
    <w:p w:rsidR="008A1838" w:rsidRPr="008A1838" w:rsidRDefault="008A1838" w:rsidP="008A1838">
      <w:pPr>
        <w:spacing w:after="0" w:line="240" w:lineRule="auto"/>
        <w:ind w:firstLine="709"/>
        <w:jc w:val="both"/>
        <w:rPr>
          <w:rFonts w:ascii="Times New Roman" w:eastAsia="Times New Roman" w:hAnsi="Times New Roman" w:cs="Times New Roman"/>
          <w:spacing w:val="-6"/>
          <w:sz w:val="28"/>
          <w:szCs w:val="28"/>
          <w:lang w:eastAsia="ru-RU"/>
        </w:rPr>
      </w:pPr>
      <w:r w:rsidRPr="008A1838">
        <w:rPr>
          <w:rFonts w:ascii="Times New Roman" w:eastAsia="Times New Roman" w:hAnsi="Times New Roman" w:cs="Times New Roman"/>
          <w:spacing w:val="-6"/>
          <w:sz w:val="28"/>
          <w:szCs w:val="28"/>
          <w:lang w:eastAsia="ru-RU"/>
        </w:rPr>
        <w:t xml:space="preserve">Следовательно, состояние металлургического рынка и текущая стадия делового цикла напрямую связаны со стратегией металлургических компаний. Так, с начала 2000-х гг. в период роста спроса и цен на металлопродукцию наблюдается активизация интеграционных процессов в мировой металлургии, которая затронула и Россию. Целью интеграции являлось построение вертикально-интегрированных компаний, устойчивых к деловым циклам в отрасли. Начиная с 2012 г. в металлургической отрасли наблюдалось замедление активности сделок M&amp;A. По мнению экспертов, падение объёма M&amp;A после кризиса 2008-2009 гг. связано с неблагоприятной конъюнктурой на мировых рынках.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Ценовая конъюнктура после 2011-2013 гг. на мировых рынках металлов не является такой благоприятной, как это было в 2000-е гг. После непрерывного роста цен на различные категории металлов, в 2008-2009 гг. произошла ценовая коррекция на мировых рынках. В 2011-2013 гг. цены на основные металлы упали. Существенное изменение ситуации в отрасли оказало значительное влияние на интенсивность интеграционных процессов (рис. 3).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На графике показано, что объём сделок достиг пика в 2007 г., перед кризисом 2008-2009 гг. Также объём сделок сократился в период 2012-2013 гг., когда цены на ряд металлов существенно сократились. По итогам 2015-2017 гг. общемировые объемы сделок по слияниям и поглощениям в металлургическом секторе остаются достаточно низкими.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p>
    <w:p w:rsidR="008A1838" w:rsidRPr="008A1838" w:rsidRDefault="008A1838" w:rsidP="008A1838">
      <w:pPr>
        <w:spacing w:after="0" w:line="240" w:lineRule="auto"/>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noProof/>
          <w:sz w:val="28"/>
          <w:szCs w:val="24"/>
          <w:lang w:eastAsia="ru-RU"/>
        </w:rPr>
        <w:drawing>
          <wp:inline distT="0" distB="0" distL="0" distR="0" wp14:anchorId="110BC82A" wp14:editId="0C0AB87F">
            <wp:extent cx="6115050" cy="2857500"/>
            <wp:effectExtent l="0" t="0" r="0" b="0"/>
            <wp:docPr id="358" name="Диаграмма 3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1838" w:rsidRPr="008A1838" w:rsidRDefault="008A1838" w:rsidP="008A1838">
      <w:pPr>
        <w:spacing w:after="0" w:line="240" w:lineRule="auto"/>
        <w:ind w:firstLine="709"/>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Рис. 3. Динамика изменения мирового производства и объемов сделок</w:t>
      </w:r>
      <w:r w:rsidRPr="008A1838">
        <w:rPr>
          <w:rFonts w:ascii="Times New Roman" w:eastAsia="Times New Roman" w:hAnsi="Times New Roman" w:cs="Times New Roman"/>
          <w:sz w:val="28"/>
          <w:szCs w:val="28"/>
          <w:lang w:val="en-US" w:eastAsia="ru-RU"/>
        </w:rPr>
        <w:t> </w:t>
      </w:r>
      <w:r w:rsidRPr="008A1838">
        <w:rPr>
          <w:rFonts w:ascii="Times New Roman" w:eastAsia="Times New Roman" w:hAnsi="Times New Roman" w:cs="Times New Roman"/>
          <w:sz w:val="28"/>
          <w:szCs w:val="28"/>
          <w:lang w:eastAsia="ru-RU"/>
        </w:rPr>
        <w:t>M&amp;A в горно-металлургической отрасли за период 2007-2014 гг. [4;5]</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Волатильность цен на сырьевые ресурсы, являющаяся одной из главенствующих характеристик рынка черных металлов, в последние годы </w:t>
      </w:r>
      <w:r w:rsidRPr="008A1838">
        <w:rPr>
          <w:rFonts w:ascii="Times New Roman" w:eastAsia="Times New Roman" w:hAnsi="Times New Roman" w:cs="Times New Roman"/>
          <w:sz w:val="28"/>
          <w:szCs w:val="28"/>
          <w:lang w:eastAsia="ru-RU"/>
        </w:rPr>
        <w:lastRenderedPageBreak/>
        <w:t xml:space="preserve">оказала значительное влияние на развитие интеграционных процессов в металлургии (рис.4). В период 2011-2014 гг. наблюдается изменение характера интеграционных процессов. Металлургические компании старались избавиться от непрофильных активов с целью оптимизации издержек и снижения долговой нагрузки, и параллельно приобретали сырьевые активы.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p>
    <w:p w:rsidR="008A1838" w:rsidRPr="008A1838" w:rsidRDefault="008A1838" w:rsidP="008A1838">
      <w:pPr>
        <w:spacing w:after="0" w:line="240" w:lineRule="auto"/>
        <w:jc w:val="center"/>
        <w:rPr>
          <w:rFonts w:ascii="Times New Roman" w:eastAsia="Times New Roman" w:hAnsi="Times New Roman" w:cs="Times New Roman"/>
          <w:sz w:val="28"/>
          <w:szCs w:val="28"/>
          <w:lang w:eastAsia="ru-RU"/>
        </w:rPr>
      </w:pPr>
      <w:r w:rsidRPr="008A1838">
        <w:rPr>
          <w:rFonts w:ascii="Times New Roman" w:eastAsia="Times New Roman" w:hAnsi="Times New Roman" w:cs="Times New Roman"/>
          <w:noProof/>
          <w:sz w:val="28"/>
          <w:szCs w:val="24"/>
          <w:lang w:eastAsia="ru-RU"/>
        </w:rPr>
        <w:drawing>
          <wp:inline distT="0" distB="0" distL="0" distR="0" wp14:anchorId="12548D52" wp14:editId="50BE4A92">
            <wp:extent cx="6124575" cy="3067050"/>
            <wp:effectExtent l="0" t="0" r="9525" b="19050"/>
            <wp:docPr id="357" name="Диаграмма 3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1838" w:rsidRPr="008A1838" w:rsidRDefault="008A1838" w:rsidP="008A1838">
      <w:pPr>
        <w:spacing w:after="0" w:line="240" w:lineRule="auto"/>
        <w:ind w:firstLine="709"/>
        <w:jc w:val="center"/>
        <w:rPr>
          <w:rFonts w:ascii="Times New Roman" w:eastAsia="Times New Roman" w:hAnsi="Times New Roman" w:cs="Times New Roman"/>
          <w:sz w:val="24"/>
          <w:szCs w:val="28"/>
          <w:lang w:eastAsia="ru-RU"/>
        </w:rPr>
      </w:pPr>
      <w:r w:rsidRPr="008A1838">
        <w:rPr>
          <w:rFonts w:ascii="Times New Roman" w:eastAsia="Times New Roman" w:hAnsi="Times New Roman" w:cs="Times New Roman"/>
          <w:sz w:val="28"/>
          <w:szCs w:val="28"/>
          <w:lang w:eastAsia="ru-RU"/>
        </w:rPr>
        <w:t>Рис. 4. Динамика мировых цен на сырьевые товары черной металлургии в период с 2010-2017 гг. [6]</w:t>
      </w:r>
    </w:p>
    <w:p w:rsidR="008A1838" w:rsidRPr="008A1838" w:rsidRDefault="008A1838" w:rsidP="008A1838">
      <w:pPr>
        <w:spacing w:after="0" w:line="240" w:lineRule="auto"/>
        <w:ind w:firstLine="709"/>
        <w:jc w:val="center"/>
        <w:rPr>
          <w:rFonts w:ascii="Times New Roman" w:eastAsia="Times New Roman" w:hAnsi="Times New Roman" w:cs="Times New Roman"/>
          <w:sz w:val="28"/>
          <w:szCs w:val="28"/>
          <w:lang w:eastAsia="ru-RU"/>
        </w:rPr>
      </w:pP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Следует отметить, что в начале  2000-х гг. уровни цен на мировом рынке железорудного сырья были сравнительно стабильными. Среднегодовая цена железной руды в 2000-2003 гг. колебалась в диапазоне от 27 до 31 USD/т [7]. Однако, в течение 2004-2008 гг. под давлением возросшего спроса железорудное сырье существенно подорожало, превысив уровень 100 USD/т. Вместе с тем, значительное влияние на усиление колебаний цен мировых рынков оказал переход торговли сырьевыми ресурсами на биржевую форму. В связи с этим между производителями металла и продуцентами сырья часто возникают разногласия по поводу цен и объема поставок. Эксперты прогнозируют дальнейшее повышение цен на сырьевые товары черной металлургии, обосновывая это индустриализацией развивающихся стран. В этих условиях действия производителей металла направлены на поиск способов противостояния высокой концентрации поставщиков сырья за счет внедрения различных стратегий в условиях подорожания сырья, в частности, приобретение сырьевых активов или инвестирование в разработку новых месторождений и сопряженной инфраструктуры.</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Еще одним немаловажным фактором, определяющим характер и направление интеграционного развития современных металлургических компаний в посткризисный период, является изменения в структуре спроса. По мнению многих аналитиков, основным стратегическим курсом развития крупнейших металлургических компаний в среднесрочной и долгосрочной </w:t>
      </w:r>
      <w:r w:rsidRPr="008A1838">
        <w:rPr>
          <w:rFonts w:ascii="Times New Roman" w:eastAsia="Times New Roman" w:hAnsi="Times New Roman" w:cs="Times New Roman"/>
          <w:sz w:val="28"/>
          <w:szCs w:val="28"/>
          <w:lang w:eastAsia="ru-RU"/>
        </w:rPr>
        <w:lastRenderedPageBreak/>
        <w:t xml:space="preserve">перспективе станет увеличение глубины переработки металла, повышение доли продукции с высокой добавленной стоимостью, снижение издержек за счет внедрения современных технологий низкозатратного производства и эффективного использования сырья. В этом направлении активно развиваются  зарубежные компании металлургической отрасли.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sz w:val="28"/>
          <w:szCs w:val="28"/>
          <w:lang w:eastAsia="ru-RU"/>
        </w:rPr>
        <w:t xml:space="preserve">Так один из крупнейших промышленных концернов Германии ThyssenKrupp и индийская металлургическая компания Tata Steel подписали предварительное соглашение о слиянии своих сталелитейных производств с тем, чтобы стать вторым по величине производителем стали в Европе и справиться с избыточным предложением на рынке из-за дешевого импорта Китая. В случае успешного заключения крупномасштабного контракта это в значительной степени укрепит ведущую роль Tata Steel как одного из самых эффективных и устойчивых сталелитейных заводов в мире. Ежегодная синергия – суммирующий эффект взаимодействия двух гигантов – составит примерно 400 милн. евро, тем самым приблизившись по своим параметрам к крупнейшему европейскому производителю ArcelorMittal.  Помимо других преимуществ, объединение предприятий позволит Tata Steel сосредоточиться на рынке Индии, наращивая темпы производства для внутреннего потребителя. Что же касается ThyssenKrupp, то она все дальше уйдет от производства стали и трансформируется в промышленную компанию по производству лифтов, автокомпонентов, судов и прочей продукции с высокой добавленной стоимостью для европейского рынка [8]. </w:t>
      </w:r>
    </w:p>
    <w:p w:rsidR="008A1838" w:rsidRPr="008A1838" w:rsidRDefault="008A1838" w:rsidP="008A1838">
      <w:pPr>
        <w:spacing w:after="0" w:line="240" w:lineRule="auto"/>
        <w:ind w:firstLine="709"/>
        <w:jc w:val="both"/>
        <w:rPr>
          <w:rFonts w:ascii="Times New Roman" w:eastAsia="Times New Roman" w:hAnsi="Times New Roman" w:cs="Times New Roman"/>
          <w:sz w:val="28"/>
          <w:szCs w:val="28"/>
          <w:lang w:eastAsia="ru-RU"/>
        </w:rPr>
      </w:pPr>
      <w:r w:rsidRPr="008A1838">
        <w:rPr>
          <w:rFonts w:ascii="Times New Roman" w:eastAsia="Times New Roman" w:hAnsi="Times New Roman" w:cs="Times New Roman"/>
          <w:b/>
          <w:sz w:val="28"/>
          <w:szCs w:val="28"/>
          <w:lang w:eastAsia="ru-RU"/>
        </w:rPr>
        <w:t xml:space="preserve">Выводы. </w:t>
      </w:r>
      <w:r w:rsidRPr="008A1838">
        <w:rPr>
          <w:rFonts w:ascii="Times New Roman" w:eastAsia="Times New Roman" w:hAnsi="Times New Roman" w:cs="Times New Roman"/>
          <w:sz w:val="28"/>
          <w:szCs w:val="28"/>
          <w:lang w:eastAsia="ru-RU"/>
        </w:rPr>
        <w:t>Основным фактором активизации интеграционных процессов в черной металлургии остается высокое колебание цен на сырьевые товары на мировых и внутренних рынках. Вместе с тем, в условиях ужесточения конкуренции среди производителей стали, как по технологическим типам производства и по производственной себестоимости производимой продукции, так и глубине товарного передела возникает необходимость переориентации интеграционного развития металлургических компаний с целью повышения доли производства продукции высоких переделов, что соответствует тенденциям развития мировой экономики.</w:t>
      </w:r>
    </w:p>
    <w:tbl>
      <w:tblPr>
        <w:tblStyle w:val="a3"/>
        <w:tblW w:w="48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8630"/>
      </w:tblGrid>
      <w:tr w:rsidR="008A1838" w:rsidRPr="008A1838" w:rsidTr="00BB1D7C">
        <w:trPr>
          <w:jc w:val="center"/>
        </w:trPr>
        <w:tc>
          <w:tcPr>
            <w:tcW w:w="9647" w:type="dxa"/>
            <w:gridSpan w:val="2"/>
            <w:vAlign w:val="center"/>
          </w:tcPr>
          <w:p w:rsidR="008A1838" w:rsidRPr="008A1838" w:rsidRDefault="008A1838" w:rsidP="008A1838">
            <w:pPr>
              <w:contextualSpacing/>
              <w:jc w:val="both"/>
              <w:rPr>
                <w:rFonts w:ascii="Times New Roman" w:eastAsia="Calibri" w:hAnsi="Times New Roman"/>
                <w:sz w:val="24"/>
                <w:szCs w:val="24"/>
              </w:rPr>
            </w:pPr>
          </w:p>
        </w:tc>
      </w:tr>
      <w:tr w:rsidR="008A1838" w:rsidRPr="008A1838" w:rsidTr="00BB1D7C">
        <w:trPr>
          <w:jc w:val="center"/>
        </w:trPr>
        <w:tc>
          <w:tcPr>
            <w:tcW w:w="9647" w:type="dxa"/>
            <w:gridSpan w:val="2"/>
            <w:vAlign w:val="center"/>
          </w:tcPr>
          <w:p w:rsidR="008A1838" w:rsidRPr="008A1838" w:rsidRDefault="008A1838" w:rsidP="008A1838">
            <w:pPr>
              <w:ind w:firstLine="709"/>
              <w:jc w:val="center"/>
              <w:rPr>
                <w:rFonts w:ascii="Times New Roman" w:hAnsi="Times New Roman"/>
                <w:b/>
                <w:sz w:val="28"/>
                <w:szCs w:val="28"/>
              </w:rPr>
            </w:pPr>
            <w:r w:rsidRPr="008A1838">
              <w:rPr>
                <w:rFonts w:ascii="Times New Roman" w:hAnsi="Times New Roman"/>
                <w:b/>
                <w:sz w:val="28"/>
                <w:szCs w:val="28"/>
              </w:rPr>
              <w:t>Список литературы</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z w:val="24"/>
                <w:szCs w:val="24"/>
              </w:rPr>
              <w:t>Стабильной на мировом рынке стали становится только нестабильность [Электронный ресурс] / Металлоснабжение и сбыт. – Электрон. дан. – Москва, 2018. – Режим доступа: http://www.metalinfo.ru/ru/news/102178. –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z w:val="24"/>
                <w:szCs w:val="24"/>
              </w:rPr>
              <w:t>Стальной Статистический Ежегодник [Электронный ресурс] / Всемирная ассоциация стали: офиц. сайт. – Электрон. дан. – Брюссель, 2018. – Режим доступа: https://www.worldsteel.org/steel-by-topic/statistics/steel-statistical-yearbook-.html. –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Фомин, М. В. Анализ сделок слияний и поглощений российских металлургических компаний [Электронный ресурс]: науч. доклад / М. В. Фомин, А. В. Бухвалов; Санкт-Петербургский гос. ун-т. – Электрон. дан. -  Санкт-Петербург, 2015. – Режим доступа: https://dspace.spbu.ru/bitstream/11701/6419/1/12_WP%202015%20Fomin%20Bukhvalov.pdf. –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 xml:space="preserve">Общая стоимость сделок в горнодобывающей и металлургической отрасли во всем мире с 2000 по 2017 гг. [Электронный ресурс] / Статистический портал. – Электрон. </w:t>
            </w:r>
            <w:r w:rsidRPr="008A1838">
              <w:rPr>
                <w:rFonts w:ascii="Times New Roman" w:eastAsia="Calibri" w:hAnsi="Times New Roman"/>
                <w:spacing w:val="-6"/>
                <w:sz w:val="24"/>
                <w:szCs w:val="24"/>
              </w:rPr>
              <w:lastRenderedPageBreak/>
              <w:t>дан. – Нью-Йорк, 2018. - https://www.statista.com/statistics/236944/total-value-of-deals-in-the-global-mining-and-metals-sector/. –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Показатели мирового развития [Электронный ресурс] / Мировой банк: офиц. сайт. – Электрон. дан. – Вашингтон, 2018. – Режим доступа: http://databank.worldbank.org/data/indicator/</w:t>
            </w:r>
            <w:r w:rsidRPr="008A1838">
              <w:rPr>
                <w:rFonts w:ascii="Times New Roman" w:eastAsia="Calibri" w:hAnsi="Times New Roman"/>
                <w:color w:val="1C1FAC"/>
                <w:spacing w:val="-6"/>
                <w:sz w:val="24"/>
                <w:szCs w:val="24"/>
              </w:rPr>
              <w:t xml:space="preserve"> </w:t>
            </w:r>
            <w:r w:rsidRPr="008A1838">
              <w:rPr>
                <w:rFonts w:ascii="Times New Roman" w:eastAsia="Calibri" w:hAnsi="Times New Roman"/>
                <w:color w:val="1C1FAC"/>
                <w:spacing w:val="-6"/>
                <w:sz w:val="24"/>
                <w:szCs w:val="24"/>
                <w:u w:val="single"/>
              </w:rPr>
              <w:t>NY.GDP.MKTP.KD.ZG/1ff4a498/Popular-Indicators.</w:t>
            </w:r>
            <w:r w:rsidRPr="008A1838">
              <w:rPr>
                <w:rFonts w:ascii="Times New Roman" w:eastAsia="Calibri" w:hAnsi="Times New Roman"/>
                <w:color w:val="00589A"/>
                <w:spacing w:val="-6"/>
                <w:sz w:val="24"/>
                <w:szCs w:val="24"/>
              </w:rPr>
              <w:t xml:space="preserve"> </w:t>
            </w:r>
            <w:r w:rsidRPr="008A1838">
              <w:rPr>
                <w:rFonts w:ascii="Times New Roman" w:eastAsia="Calibri" w:hAnsi="Times New Roman"/>
                <w:spacing w:val="-6"/>
                <w:sz w:val="24"/>
                <w:szCs w:val="24"/>
              </w:rPr>
              <w:t>–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Анализ</w:t>
            </w:r>
            <w:r w:rsidRPr="008A1838">
              <w:rPr>
                <w:rFonts w:ascii="Times New Roman" w:eastAsia="Calibri" w:hAnsi="Times New Roman"/>
                <w:sz w:val="24"/>
                <w:szCs w:val="24"/>
              </w:rPr>
              <w:t xml:space="preserve"> сырьевых рынков 2017 + прогноз: металлургия [Электронный ресурс] / Арсагера: офиц. сайт. – Электрон. дан. – Санкт-Петербург, 2018. – Режим доступа: https://arsagera.ru/kuda_i_kak_investirovat/kakaya_otchetnost_dolzhna_byt_u_kazhdogo_investora1/analiz_syrevyh_rynkov_2017_prognoz_metallurgiya1/</w:t>
            </w:r>
            <w:r w:rsidRPr="008A1838">
              <w:rPr>
                <w:rFonts w:ascii="Times New Roman" w:eastAsia="Calibri" w:hAnsi="Times New Roman"/>
                <w:color w:val="0070C0"/>
                <w:sz w:val="24"/>
                <w:szCs w:val="24"/>
              </w:rPr>
              <w:t xml:space="preserve">. </w:t>
            </w:r>
            <w:r w:rsidRPr="008A1838">
              <w:rPr>
                <w:rFonts w:ascii="Times New Roman" w:eastAsia="Calibri" w:hAnsi="Times New Roman"/>
                <w:sz w:val="24"/>
                <w:szCs w:val="24"/>
              </w:rPr>
              <w:t>– Загл. с экрана.</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Горно-металлургический комплекс Украины (цифры, факты, комментарии). Бизнес-справочник / под ред. В. А. Гнатуш – Киев, 2009. – 732 с.</w:t>
            </w:r>
          </w:p>
        </w:tc>
      </w:tr>
      <w:tr w:rsidR="008A1838" w:rsidRPr="008A1838" w:rsidTr="00BB1D7C">
        <w:trPr>
          <w:jc w:val="center"/>
        </w:trPr>
        <w:tc>
          <w:tcPr>
            <w:tcW w:w="545" w:type="dxa"/>
            <w:vAlign w:val="center"/>
          </w:tcPr>
          <w:p w:rsidR="008A1838" w:rsidRPr="008A1838" w:rsidRDefault="008A1838" w:rsidP="008A1838">
            <w:pPr>
              <w:widowControl w:val="0"/>
              <w:numPr>
                <w:ilvl w:val="0"/>
                <w:numId w:val="1"/>
              </w:numPr>
              <w:contextualSpacing/>
              <w:jc w:val="both"/>
              <w:rPr>
                <w:rFonts w:ascii="Times New Roman" w:eastAsia="Calibri" w:hAnsi="Times New Roman"/>
                <w:sz w:val="24"/>
                <w:szCs w:val="24"/>
              </w:rPr>
            </w:pPr>
          </w:p>
        </w:tc>
        <w:tc>
          <w:tcPr>
            <w:tcW w:w="9102" w:type="dxa"/>
            <w:vAlign w:val="center"/>
          </w:tcPr>
          <w:p w:rsidR="008A1838" w:rsidRPr="008A1838" w:rsidRDefault="008A1838" w:rsidP="008A1838">
            <w:pPr>
              <w:contextualSpacing/>
              <w:jc w:val="both"/>
              <w:rPr>
                <w:rFonts w:ascii="Times New Roman" w:eastAsia="Calibri" w:hAnsi="Times New Roman"/>
                <w:sz w:val="24"/>
                <w:szCs w:val="24"/>
              </w:rPr>
            </w:pPr>
            <w:r w:rsidRPr="008A1838">
              <w:rPr>
                <w:rFonts w:ascii="Times New Roman" w:eastAsia="Calibri" w:hAnsi="Times New Roman"/>
                <w:spacing w:val="-6"/>
                <w:sz w:val="24"/>
                <w:szCs w:val="24"/>
              </w:rPr>
              <w:t>Thyssenkrupp и Tata Steel договорились о слиянии [Электронный ресурс] / Металлоснабжение и сбыт. – Электрон. дан. – Москва, 2018. – Режим доступа: http://www.metalinfo.ru/ru/news/97190. – Загл. с экрана</w:t>
            </w:r>
          </w:p>
        </w:tc>
      </w:tr>
    </w:tbl>
    <w:p w:rsidR="00DA6D04" w:rsidRDefault="00DA6D04">
      <w:bookmarkStart w:id="2" w:name="_GoBack"/>
      <w:bookmarkEnd w:id="2"/>
    </w:p>
    <w:sectPr w:rsidR="00DA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637F7"/>
    <w:multiLevelType w:val="hybridMultilevel"/>
    <w:tmpl w:val="78A0F022"/>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38"/>
    <w:rsid w:val="008A1838"/>
    <w:rsid w:val="00DA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38BDC-45A3-452D-B31C-ED7C476C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83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1057;&#1090;&#1072;&#1090;&#1100;&#1103;_&#1052;&#1061;&#1055;_17.06.2018\&#1051;&#1080;&#1089;&#1090;%20Microsoft%20Excel%20(3)%20(&#1040;&#1074;&#1090;&#1086;&#1089;&#1086;&#1093;&#1088;&#1072;&#1085;&#1077;&#1085;&#1085;&#1099;&#108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esktop\&#1057;&#1090;&#1072;&#1090;&#1100;&#1103;_&#1052;&#1061;&#1055;_17.06.2018\&#1051;&#1080;&#1089;&#1090;%20Microsoft%20Excel%20(3)%20(&#1040;&#1074;&#1090;&#1086;&#1089;&#1086;&#1093;&#1088;&#1072;&#1085;&#1077;&#1085;&#1085;&#1099;&#108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1057;&#1090;&#1072;&#1090;&#1100;&#1103;_&#1052;&#1061;&#1055;_05.04.2018\&#1051;&#1080;&#1089;&#1090;%20Microsoft%20Excel%2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1057;&#1090;&#1072;&#1090;&#1100;&#1103;_&#1052;&#1061;&#1055;_05.04.2018\&#1051;&#1080;&#1089;&#1090;%20Microsoft%20Excel%20(3)%20(&#1040;&#1074;&#1090;&#1086;&#1089;&#1086;&#1093;&#1088;&#1072;&#1085;&#1077;&#1085;&#1085;&#1099;&#108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192817361244482E-2"/>
          <c:y val="2.3159630029469261E-2"/>
          <c:w val="0.95528455284552849"/>
          <c:h val="0.80050909503941048"/>
        </c:manualLayout>
      </c:layout>
      <c:areaChart>
        <c:grouping val="stacked"/>
        <c:varyColors val="0"/>
        <c:ser>
          <c:idx val="0"/>
          <c:order val="1"/>
          <c:tx>
            <c:strRef>
              <c:f>Лист1!$B$1</c:f>
              <c:strCache>
                <c:ptCount val="1"/>
                <c:pt idx="0">
                  <c:v>Производство стали, млн. т</c:v>
                </c:pt>
              </c:strCache>
            </c:strRef>
          </c:tx>
          <c:spPr>
            <a:solidFill>
              <a:schemeClr val="bg1">
                <a:lumMod val="85000"/>
              </a:schemeClr>
            </a:solidFill>
          </c:spPr>
          <c:dLbls>
            <c:dLbl>
              <c:idx val="0"/>
              <c:layout>
                <c:manualLayout>
                  <c:x val="-1.2195121951219513E-2"/>
                  <c:y val="8.933000154223858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58-4133-9605-1F1B1833E432}"/>
                </c:ext>
              </c:extLst>
            </c:dLbl>
            <c:dLbl>
              <c:idx val="1"/>
              <c:layout>
                <c:manualLayout>
                  <c:x val="-1.6260322642596504E-2"/>
                  <c:y val="0.18196826114684195"/>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58-4133-9605-1F1B1833E432}"/>
                </c:ext>
              </c:extLst>
            </c:dLbl>
            <c:dLbl>
              <c:idx val="2"/>
              <c:layout>
                <c:manualLayout>
                  <c:x val="-1.4227802317393254E-2"/>
                  <c:y val="0.20181937260067276"/>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58-4133-9605-1F1B1833E432}"/>
                </c:ext>
              </c:extLst>
            </c:dLbl>
            <c:dLbl>
              <c:idx val="3"/>
              <c:layout>
                <c:manualLayout>
                  <c:x val="-1.4227642276422764E-2"/>
                  <c:y val="0.28122407892926959"/>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58-4133-9605-1F1B1833E432}"/>
                </c:ext>
              </c:extLst>
            </c:dLbl>
            <c:dLbl>
              <c:idx val="4"/>
              <c:layout>
                <c:manualLayout>
                  <c:x val="-1.4227642276422764E-2"/>
                  <c:y val="0.30107519038310038"/>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58-4133-9605-1F1B1833E432}"/>
                </c:ext>
              </c:extLst>
            </c:dLbl>
            <c:dLbl>
              <c:idx val="5"/>
              <c:layout>
                <c:manualLayout>
                  <c:x val="-1.4227642276422764E-2"/>
                  <c:y val="0.25475593032416188"/>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58-4133-9605-1F1B1833E432}"/>
                </c:ext>
              </c:extLst>
            </c:dLbl>
            <c:dLbl>
              <c:idx val="6"/>
              <c:layout>
                <c:manualLayout>
                  <c:x val="-1.4227642276422764E-2"/>
                  <c:y val="0.26137296747543881"/>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58-4133-9605-1F1B1833E432}"/>
                </c:ext>
              </c:extLst>
            </c:dLbl>
            <c:dLbl>
              <c:idx val="7"/>
              <c:layout>
                <c:manualLayout>
                  <c:x val="-1.8292682926829267E-2"/>
                  <c:y val="0.31761778326129275"/>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58-4133-9605-1F1B1833E432}"/>
                </c:ext>
              </c:extLst>
            </c:dLbl>
            <c:spPr>
              <a:noFill/>
              <a:ln>
                <a:noFill/>
              </a:ln>
              <a:effectLst/>
            </c:spPr>
            <c:txPr>
              <a:bodyPr anchor="b" anchorCtr="0"/>
              <a:lstStyle/>
              <a:p>
                <a:pPr>
                  <a:defRPr sz="1100"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1433</c:v>
                </c:pt>
                <c:pt idx="1">
                  <c:v>1538</c:v>
                </c:pt>
                <c:pt idx="2">
                  <c:v>1560</c:v>
                </c:pt>
                <c:pt idx="3">
                  <c:v>1650</c:v>
                </c:pt>
                <c:pt idx="4">
                  <c:v>1670</c:v>
                </c:pt>
                <c:pt idx="5">
                  <c:v>1620</c:v>
                </c:pt>
                <c:pt idx="6">
                  <c:v>1628</c:v>
                </c:pt>
                <c:pt idx="7">
                  <c:v>1691</c:v>
                </c:pt>
              </c:numCache>
            </c:numRef>
          </c:val>
          <c:extLst>
            <c:ext xmlns:c16="http://schemas.microsoft.com/office/drawing/2014/chart" uri="{C3380CC4-5D6E-409C-BE32-E72D297353CC}">
              <c16:uniqueId val="{00000008-7758-4133-9605-1F1B1833E432}"/>
            </c:ext>
          </c:extLst>
        </c:ser>
        <c:dLbls>
          <c:showLegendKey val="0"/>
          <c:showVal val="0"/>
          <c:showCatName val="0"/>
          <c:showSerName val="0"/>
          <c:showPercent val="0"/>
          <c:showBubbleSize val="0"/>
        </c:dLbls>
        <c:axId val="160260864"/>
        <c:axId val="160262400"/>
      </c:areaChart>
      <c:lineChart>
        <c:grouping val="standard"/>
        <c:varyColors val="0"/>
        <c:ser>
          <c:idx val="1"/>
          <c:order val="0"/>
          <c:tx>
            <c:strRef>
              <c:f>Лист1!$D$1</c:f>
              <c:strCache>
                <c:ptCount val="1"/>
                <c:pt idx="0">
                  <c:v>Темп роста</c:v>
                </c:pt>
              </c:strCache>
            </c:strRef>
          </c:tx>
          <c:spPr>
            <a:ln w="19050" cap="flat" cmpd="sng" algn="ctr">
              <a:solidFill>
                <a:schemeClr val="dk1"/>
              </a:solidFill>
              <a:prstDash val="solid"/>
            </a:ln>
            <a:effectLst/>
          </c:spPr>
          <c:marker>
            <c:spPr>
              <a:solidFill>
                <a:schemeClr val="lt1"/>
              </a:solidFill>
              <a:ln w="19050" cap="flat" cmpd="sng" algn="ctr">
                <a:solidFill>
                  <a:schemeClr val="dk1"/>
                </a:solidFill>
                <a:prstDash val="solid"/>
              </a:ln>
              <a:effectLst/>
            </c:spPr>
          </c:marker>
          <c:dLbls>
            <c:dLbl>
              <c:idx val="0"/>
              <c:layout>
                <c:manualLayout>
                  <c:x val="-3.8617886178861791E-2"/>
                  <c:y val="3.970222290766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58-4133-9605-1F1B1833E432}"/>
                </c:ext>
              </c:extLst>
            </c:dLbl>
            <c:dLbl>
              <c:idx val="1"/>
              <c:layout>
                <c:manualLayout>
                  <c:x val="-3.6585365853658534E-2"/>
                  <c:y val="-3.9702222907661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58-4133-9605-1F1B1833E432}"/>
                </c:ext>
              </c:extLst>
            </c:dLbl>
            <c:dLbl>
              <c:idx val="2"/>
              <c:layout>
                <c:manualLayout>
                  <c:x val="-3.65853658536585E-2"/>
                  <c:y val="3.6393704332023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758-4133-9605-1F1B1833E432}"/>
                </c:ext>
              </c:extLst>
            </c:dLbl>
            <c:dLbl>
              <c:idx val="3"/>
              <c:layout>
                <c:manualLayout>
                  <c:x val="-3.2520325203252036E-2"/>
                  <c:y val="-3.6393704332023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58-4133-9605-1F1B1833E432}"/>
                </c:ext>
              </c:extLst>
            </c:dLbl>
            <c:dLbl>
              <c:idx val="4"/>
              <c:layout>
                <c:manualLayout>
                  <c:x val="-3.2520325203252036E-2"/>
                  <c:y val="3.3085185756384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758-4133-9605-1F1B1833E432}"/>
                </c:ext>
              </c:extLst>
            </c:dLbl>
            <c:dLbl>
              <c:idx val="5"/>
              <c:layout>
                <c:manualLayout>
                  <c:x val="-3.048780487804878E-2"/>
                  <c:y val="2.9776667180746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758-4133-9605-1F1B1833E432}"/>
                </c:ext>
              </c:extLst>
            </c:dLbl>
            <c:dLbl>
              <c:idx val="6"/>
              <c:layout>
                <c:manualLayout>
                  <c:x val="-3.6585365853658534E-2"/>
                  <c:y val="-3.6393704332023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758-4133-9605-1F1B1833E432}"/>
                </c:ext>
              </c:extLst>
            </c:dLbl>
            <c:dLbl>
              <c:idx val="7"/>
              <c:layout>
                <c:manualLayout>
                  <c:x val="-3.4552845528455285E-2"/>
                  <c:y val="-2.9776667180746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758-4133-9605-1F1B1833E432}"/>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Лист1!$D$2:$D$9</c:f>
              <c:numCache>
                <c:formatCode>0.00</c:formatCode>
                <c:ptCount val="8"/>
                <c:pt idx="0">
                  <c:v>1</c:v>
                </c:pt>
                <c:pt idx="1">
                  <c:v>1.07</c:v>
                </c:pt>
                <c:pt idx="2">
                  <c:v>1.01</c:v>
                </c:pt>
                <c:pt idx="3">
                  <c:v>1.06</c:v>
                </c:pt>
                <c:pt idx="4">
                  <c:v>1.01</c:v>
                </c:pt>
                <c:pt idx="5">
                  <c:v>0.97</c:v>
                </c:pt>
                <c:pt idx="6">
                  <c:v>1.01</c:v>
                </c:pt>
                <c:pt idx="7">
                  <c:v>1.0386977886977886</c:v>
                </c:pt>
              </c:numCache>
            </c:numRef>
          </c:val>
          <c:smooth val="0"/>
          <c:extLst>
            <c:ext xmlns:c16="http://schemas.microsoft.com/office/drawing/2014/chart" uri="{C3380CC4-5D6E-409C-BE32-E72D297353CC}">
              <c16:uniqueId val="{00000011-7758-4133-9605-1F1B1833E432}"/>
            </c:ext>
          </c:extLst>
        </c:ser>
        <c:dLbls>
          <c:showLegendKey val="0"/>
          <c:showVal val="0"/>
          <c:showCatName val="0"/>
          <c:showSerName val="0"/>
          <c:showPercent val="0"/>
          <c:showBubbleSize val="0"/>
        </c:dLbls>
        <c:marker val="1"/>
        <c:smooth val="0"/>
        <c:axId val="160957952"/>
        <c:axId val="160956416"/>
      </c:lineChart>
      <c:catAx>
        <c:axId val="160260864"/>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60262400"/>
        <c:crosses val="autoZero"/>
        <c:auto val="1"/>
        <c:lblAlgn val="ctr"/>
        <c:lblOffset val="100"/>
        <c:noMultiLvlLbl val="0"/>
      </c:catAx>
      <c:valAx>
        <c:axId val="160262400"/>
        <c:scaling>
          <c:orientation val="minMax"/>
        </c:scaling>
        <c:delete val="0"/>
        <c:axPos val="l"/>
        <c:numFmt formatCode="General" sourceLinked="1"/>
        <c:majorTickMark val="out"/>
        <c:minorTickMark val="none"/>
        <c:tickLblPos val="nextTo"/>
        <c:crossAx val="160260864"/>
        <c:crosses val="autoZero"/>
        <c:crossBetween val="between"/>
      </c:valAx>
      <c:valAx>
        <c:axId val="160956416"/>
        <c:scaling>
          <c:orientation val="minMax"/>
        </c:scaling>
        <c:delete val="0"/>
        <c:axPos val="r"/>
        <c:numFmt formatCode="0.00" sourceLinked="1"/>
        <c:majorTickMark val="out"/>
        <c:minorTickMark val="none"/>
        <c:tickLblPos val="nextTo"/>
        <c:crossAx val="160957952"/>
        <c:crosses val="max"/>
        <c:crossBetween val="between"/>
      </c:valAx>
      <c:catAx>
        <c:axId val="160957952"/>
        <c:scaling>
          <c:orientation val="minMax"/>
        </c:scaling>
        <c:delete val="1"/>
        <c:axPos val="b"/>
        <c:numFmt formatCode="General" sourceLinked="1"/>
        <c:majorTickMark val="out"/>
        <c:minorTickMark val="none"/>
        <c:tickLblPos val="nextTo"/>
        <c:crossAx val="160956416"/>
        <c:crosses val="autoZero"/>
        <c:auto val="1"/>
        <c:lblAlgn val="ctr"/>
        <c:lblOffset val="100"/>
        <c:noMultiLvlLbl val="0"/>
      </c:catAx>
      <c:spPr>
        <a:ln>
          <a:noFill/>
        </a:ln>
      </c:spPr>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w="9525">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192817361244482E-2"/>
          <c:y val="2.3159630029469261E-2"/>
          <c:w val="0.95528455284552849"/>
          <c:h val="0.79708097265487488"/>
        </c:manualLayout>
      </c:layout>
      <c:areaChart>
        <c:grouping val="stacked"/>
        <c:varyColors val="0"/>
        <c:ser>
          <c:idx val="0"/>
          <c:order val="1"/>
          <c:tx>
            <c:strRef>
              <c:f>Лист1!$B$11</c:f>
              <c:strCache>
                <c:ptCount val="1"/>
                <c:pt idx="0">
                  <c:v>Потребление стали,  млн. т</c:v>
                </c:pt>
              </c:strCache>
            </c:strRef>
          </c:tx>
          <c:spPr>
            <a:solidFill>
              <a:schemeClr val="bg1">
                <a:lumMod val="85000"/>
              </a:schemeClr>
            </a:solidFill>
          </c:spPr>
          <c:dLbls>
            <c:dLbl>
              <c:idx val="0"/>
              <c:layout>
                <c:manualLayout>
                  <c:x val="-1.4227642276422764E-2"/>
                  <c:y val="0.12572370587426171"/>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B7-4495-9DE6-ABF3374BB718}"/>
                </c:ext>
              </c:extLst>
            </c:dLbl>
            <c:dLbl>
              <c:idx val="1"/>
              <c:layout>
                <c:manualLayout>
                  <c:x val="-1.6260322642596504E-2"/>
                  <c:y val="0.21505370741650029"/>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B7-4495-9DE6-ABF3374BB718}"/>
                </c:ext>
              </c:extLst>
            </c:dLbl>
            <c:dLbl>
              <c:idx val="2"/>
              <c:layout>
                <c:manualLayout>
                  <c:x val="-1.6260322642596504E-2"/>
                  <c:y val="0.27460704177799267"/>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B7-4495-9DE6-ABF3374BB718}"/>
                </c:ext>
              </c:extLst>
            </c:dLbl>
            <c:dLbl>
              <c:idx val="3"/>
              <c:layout>
                <c:manualLayout>
                  <c:x val="-1.6260162601626018E-2"/>
                  <c:y val="0.33746889471512354"/>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B7-4495-9DE6-ABF3374BB718}"/>
                </c:ext>
              </c:extLst>
            </c:dLbl>
            <c:dLbl>
              <c:idx val="4"/>
              <c:layout>
                <c:manualLayout>
                  <c:x val="-1.6260162601626018E-2"/>
                  <c:y val="0.34739445044203893"/>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B7-4495-9DE6-ABF3374BB718}"/>
                </c:ext>
              </c:extLst>
            </c:dLbl>
            <c:dLbl>
              <c:idx val="5"/>
              <c:layout>
                <c:manualLayout>
                  <c:x val="-2.032520325203252E-2"/>
                  <c:y val="0.30107519038310038"/>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B7-4495-9DE6-ABF3374BB718}"/>
                </c:ext>
              </c:extLst>
            </c:dLbl>
            <c:dLbl>
              <c:idx val="6"/>
              <c:layout>
                <c:manualLayout>
                  <c:x val="-1.4227642276422764E-2"/>
                  <c:y val="0.3209263018369312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B7-4495-9DE6-ABF3374BB718}"/>
                </c:ext>
              </c:extLst>
            </c:dLbl>
            <c:dLbl>
              <c:idx val="7"/>
              <c:layout>
                <c:manualLayout>
                  <c:x val="-2.2357723577235773E-2"/>
                  <c:y val="0.3076922275343773"/>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B7-4495-9DE6-ABF3374BB718}"/>
                </c:ext>
              </c:extLst>
            </c:dLbl>
            <c:spPr>
              <a:noFill/>
              <a:ln>
                <a:noFill/>
              </a:ln>
              <a:effectLst/>
            </c:spPr>
            <c:txPr>
              <a:bodyPr anchor="b" anchorCtr="0"/>
              <a:lstStyle/>
              <a:p>
                <a:pPr>
                  <a:defRPr sz="1100"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Лист1!$B$12:$B$19</c:f>
              <c:numCache>
                <c:formatCode>General</c:formatCode>
                <c:ptCount val="8"/>
                <c:pt idx="0">
                  <c:v>1401</c:v>
                </c:pt>
                <c:pt idx="1">
                  <c:v>1492</c:v>
                </c:pt>
                <c:pt idx="2">
                  <c:v>1552</c:v>
                </c:pt>
                <c:pt idx="3">
                  <c:v>1613</c:v>
                </c:pt>
                <c:pt idx="4">
                  <c:v>1627</c:v>
                </c:pt>
                <c:pt idx="5">
                  <c:v>1580</c:v>
                </c:pt>
                <c:pt idx="6">
                  <c:v>1600</c:v>
                </c:pt>
                <c:pt idx="7">
                  <c:v>1587</c:v>
                </c:pt>
              </c:numCache>
            </c:numRef>
          </c:val>
          <c:extLst>
            <c:ext xmlns:c16="http://schemas.microsoft.com/office/drawing/2014/chart" uri="{C3380CC4-5D6E-409C-BE32-E72D297353CC}">
              <c16:uniqueId val="{00000008-A9B7-4495-9DE6-ABF3374BB718}"/>
            </c:ext>
          </c:extLst>
        </c:ser>
        <c:dLbls>
          <c:showLegendKey val="0"/>
          <c:showVal val="0"/>
          <c:showCatName val="0"/>
          <c:showSerName val="0"/>
          <c:showPercent val="0"/>
          <c:showBubbleSize val="0"/>
        </c:dLbls>
        <c:axId val="160993280"/>
        <c:axId val="160994816"/>
      </c:areaChart>
      <c:lineChart>
        <c:grouping val="standard"/>
        <c:varyColors val="0"/>
        <c:ser>
          <c:idx val="1"/>
          <c:order val="0"/>
          <c:tx>
            <c:strRef>
              <c:f>Лист1!$D$11</c:f>
              <c:strCache>
                <c:ptCount val="1"/>
                <c:pt idx="0">
                  <c:v>Темп роста</c:v>
                </c:pt>
              </c:strCache>
            </c:strRef>
          </c:tx>
          <c:spPr>
            <a:ln w="19050" cap="flat" cmpd="sng" algn="ctr">
              <a:solidFill>
                <a:schemeClr val="dk1"/>
              </a:solidFill>
              <a:prstDash val="solid"/>
            </a:ln>
            <a:effectLst/>
          </c:spPr>
          <c:marker>
            <c:spPr>
              <a:solidFill>
                <a:schemeClr val="lt1"/>
              </a:solidFill>
              <a:ln w="19050" cap="flat" cmpd="sng" algn="ctr">
                <a:solidFill>
                  <a:schemeClr val="dk1"/>
                </a:solidFill>
                <a:prstDash val="solid"/>
              </a:ln>
              <a:effectLst/>
            </c:spPr>
          </c:marker>
          <c:dLbls>
            <c:dLbl>
              <c:idx val="0"/>
              <c:layout>
                <c:manualLayout>
                  <c:x val="-3.2520325203252036E-2"/>
                  <c:y val="4.301074148330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B7-4495-9DE6-ABF3374BB718}"/>
                </c:ext>
              </c:extLst>
            </c:dLbl>
            <c:dLbl>
              <c:idx val="1"/>
              <c:layout>
                <c:manualLayout>
                  <c:x val="-3.6585365853658534E-2"/>
                  <c:y val="-3.9702222907661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B7-4495-9DE6-ABF3374BB718}"/>
                </c:ext>
              </c:extLst>
            </c:dLbl>
            <c:dLbl>
              <c:idx val="2"/>
              <c:layout>
                <c:manualLayout>
                  <c:x val="-3.65853658536585E-2"/>
                  <c:y val="3.6393704332023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B7-4495-9DE6-ABF3374BB718}"/>
                </c:ext>
              </c:extLst>
            </c:dLbl>
            <c:dLbl>
              <c:idx val="3"/>
              <c:layout>
                <c:manualLayout>
                  <c:x val="-3.2520325203252036E-2"/>
                  <c:y val="-3.6393704332023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B7-4495-9DE6-ABF3374BB718}"/>
                </c:ext>
              </c:extLst>
            </c:dLbl>
            <c:dLbl>
              <c:idx val="4"/>
              <c:layout>
                <c:manualLayout>
                  <c:x val="-3.2520325203252036E-2"/>
                  <c:y val="3.3085185756384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B7-4495-9DE6-ABF3374BB718}"/>
                </c:ext>
              </c:extLst>
            </c:dLbl>
            <c:dLbl>
              <c:idx val="5"/>
              <c:layout>
                <c:manualLayout>
                  <c:x val="-3.048780487804878E-2"/>
                  <c:y val="2.9776667180746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B7-4495-9DE6-ABF3374BB718}"/>
                </c:ext>
              </c:extLst>
            </c:dLbl>
            <c:dLbl>
              <c:idx val="6"/>
              <c:layout>
                <c:manualLayout>
                  <c:x val="-3.6585365853658534E-2"/>
                  <c:y val="-3.6393704332023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B7-4495-9DE6-ABF3374BB718}"/>
                </c:ext>
              </c:extLst>
            </c:dLbl>
            <c:dLbl>
              <c:idx val="7"/>
              <c:layout>
                <c:manualLayout>
                  <c:x val="-3.2520325203252036E-2"/>
                  <c:y val="3.9702222907661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B7-4495-9DE6-ABF3374BB718}"/>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Лист1!$D$12:$D$19</c:f>
              <c:numCache>
                <c:formatCode>0.00</c:formatCode>
                <c:ptCount val="8"/>
                <c:pt idx="0">
                  <c:v>1</c:v>
                </c:pt>
                <c:pt idx="1">
                  <c:v>1.07</c:v>
                </c:pt>
                <c:pt idx="2">
                  <c:v>1.04</c:v>
                </c:pt>
                <c:pt idx="3">
                  <c:v>1.04</c:v>
                </c:pt>
                <c:pt idx="4">
                  <c:v>1.01</c:v>
                </c:pt>
                <c:pt idx="5">
                  <c:v>0.97</c:v>
                </c:pt>
                <c:pt idx="6">
                  <c:v>1.01</c:v>
                </c:pt>
                <c:pt idx="7">
                  <c:v>0.99187499999999995</c:v>
                </c:pt>
              </c:numCache>
            </c:numRef>
          </c:val>
          <c:smooth val="0"/>
          <c:extLst>
            <c:ext xmlns:c16="http://schemas.microsoft.com/office/drawing/2014/chart" uri="{C3380CC4-5D6E-409C-BE32-E72D297353CC}">
              <c16:uniqueId val="{00000011-A9B7-4495-9DE6-ABF3374BB718}"/>
            </c:ext>
          </c:extLst>
        </c:ser>
        <c:dLbls>
          <c:showLegendKey val="0"/>
          <c:showVal val="0"/>
          <c:showCatName val="0"/>
          <c:showSerName val="0"/>
          <c:showPercent val="0"/>
          <c:showBubbleSize val="0"/>
        </c:dLbls>
        <c:marker val="1"/>
        <c:smooth val="0"/>
        <c:axId val="161022720"/>
        <c:axId val="160996352"/>
      </c:lineChart>
      <c:catAx>
        <c:axId val="160993280"/>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60994816"/>
        <c:crosses val="autoZero"/>
        <c:auto val="1"/>
        <c:lblAlgn val="ctr"/>
        <c:lblOffset val="100"/>
        <c:noMultiLvlLbl val="0"/>
      </c:catAx>
      <c:valAx>
        <c:axId val="160994816"/>
        <c:scaling>
          <c:orientation val="minMax"/>
        </c:scaling>
        <c:delete val="0"/>
        <c:axPos val="l"/>
        <c:numFmt formatCode="General" sourceLinked="1"/>
        <c:majorTickMark val="out"/>
        <c:minorTickMark val="none"/>
        <c:tickLblPos val="nextTo"/>
        <c:crossAx val="160993280"/>
        <c:crosses val="autoZero"/>
        <c:crossBetween val="between"/>
      </c:valAx>
      <c:valAx>
        <c:axId val="160996352"/>
        <c:scaling>
          <c:orientation val="minMax"/>
        </c:scaling>
        <c:delete val="0"/>
        <c:axPos val="r"/>
        <c:numFmt formatCode="0.00" sourceLinked="1"/>
        <c:majorTickMark val="out"/>
        <c:minorTickMark val="none"/>
        <c:tickLblPos val="nextTo"/>
        <c:crossAx val="161022720"/>
        <c:crosses val="max"/>
        <c:crossBetween val="between"/>
      </c:valAx>
      <c:catAx>
        <c:axId val="161022720"/>
        <c:scaling>
          <c:orientation val="minMax"/>
        </c:scaling>
        <c:delete val="1"/>
        <c:axPos val="b"/>
        <c:numFmt formatCode="General" sourceLinked="1"/>
        <c:majorTickMark val="out"/>
        <c:minorTickMark val="none"/>
        <c:tickLblPos val="nextTo"/>
        <c:crossAx val="160996352"/>
        <c:crosses val="autoZero"/>
        <c:auto val="1"/>
        <c:lblAlgn val="ctr"/>
        <c:lblOffset val="100"/>
        <c:noMultiLvlLbl val="0"/>
      </c:catAx>
      <c:spPr>
        <a:ln>
          <a:noFill/>
        </a:ln>
      </c:spPr>
    </c:plotArea>
    <c:legend>
      <c:legendPos val="b"/>
      <c:layout>
        <c:manualLayout>
          <c:xMode val="edge"/>
          <c:yMode val="edge"/>
          <c:x val="0.23709769832013275"/>
          <c:y val="0.91503165567141942"/>
          <c:w val="0.52580444007718041"/>
          <c:h val="5.9075100192817705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w="9525">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Лист2!$C$1</c:f>
              <c:strCache>
                <c:ptCount val="1"/>
                <c:pt idx="0">
                  <c:v>Стоимость сделок, млрд. долл. США</c:v>
                </c:pt>
              </c:strCache>
            </c:strRef>
          </c:tx>
          <c:spPr>
            <a:gradFill flip="none" rotWithShape="1">
              <a:gsLst>
                <a:gs pos="0">
                  <a:schemeClr val="dk1">
                    <a:tint val="50000"/>
                    <a:satMod val="300000"/>
                  </a:schemeClr>
                </a:gs>
                <a:gs pos="35000">
                  <a:schemeClr val="dk1">
                    <a:tint val="37000"/>
                    <a:satMod val="300000"/>
                  </a:schemeClr>
                </a:gs>
                <a:gs pos="100000">
                  <a:schemeClr val="dk1">
                    <a:tint val="15000"/>
                    <a:satMod val="350000"/>
                  </a:schemeClr>
                </a:gs>
              </a:gsLst>
              <a:path path="circle">
                <a:fillToRect l="50000" t="50000" r="50000" b="50000"/>
              </a:path>
              <a:tileRect/>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a:bevelT w="165100" prst="coolSlant"/>
            </a:sp3d>
          </c:spPr>
          <c:invertIfNegative val="0"/>
          <c:dLbls>
            <c:dLbl>
              <c:idx val="0"/>
              <c:layout>
                <c:manualLayout>
                  <c:x val="0"/>
                  <c:y val="8.7087087087087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01-489A-94C7-10120F8D507C}"/>
                </c:ext>
              </c:extLst>
            </c:dLbl>
            <c:dLbl>
              <c:idx val="1"/>
              <c:layout>
                <c:manualLayout>
                  <c:x val="0"/>
                  <c:y val="7.5075075075075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01-489A-94C7-10120F8D507C}"/>
                </c:ext>
              </c:extLst>
            </c:dLbl>
            <c:dLbl>
              <c:idx val="2"/>
              <c:layout>
                <c:manualLayout>
                  <c:x val="0"/>
                  <c:y val="9.6096096096096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01-489A-94C7-10120F8D507C}"/>
                </c:ext>
              </c:extLst>
            </c:dLbl>
            <c:dLbl>
              <c:idx val="3"/>
              <c:layout>
                <c:manualLayout>
                  <c:x val="0"/>
                  <c:y val="0.111969128858892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01-489A-94C7-10120F8D507C}"/>
                </c:ext>
              </c:extLst>
            </c:dLbl>
            <c:dLbl>
              <c:idx val="4"/>
              <c:layout>
                <c:manualLayout>
                  <c:x val="1.5704377719959798E-3"/>
                  <c:y val="0.145860204974378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01-489A-94C7-10120F8D507C}"/>
                </c:ext>
              </c:extLst>
            </c:dLbl>
            <c:dLbl>
              <c:idx val="5"/>
              <c:layout>
                <c:manualLayout>
                  <c:x val="-6.6561709211823358E-4"/>
                  <c:y val="0.174602862142232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01-489A-94C7-10120F8D507C}"/>
                </c:ext>
              </c:extLst>
            </c:dLbl>
            <c:dLbl>
              <c:idx val="6"/>
              <c:layout>
                <c:manualLayout>
                  <c:x val="1.8688291237807444E-4"/>
                  <c:y val="0.157228783902012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01-489A-94C7-10120F8D507C}"/>
                </c:ext>
              </c:extLst>
            </c:dLbl>
            <c:dLbl>
              <c:idx val="7"/>
              <c:layout>
                <c:manualLayout>
                  <c:x val="0"/>
                  <c:y val="0.15894450693663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01-489A-94C7-10120F8D507C}"/>
                </c:ext>
              </c:extLst>
            </c:dLbl>
            <c:dLbl>
              <c:idx val="8"/>
              <c:layout>
                <c:manualLayout>
                  <c:x val="0"/>
                  <c:y val="0.114114114114114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01-489A-94C7-10120F8D507C}"/>
                </c:ext>
              </c:extLst>
            </c:dLbl>
            <c:dLbl>
              <c:idx val="9"/>
              <c:layout>
                <c:manualLayout>
                  <c:x val="1.4109347442680777E-3"/>
                  <c:y val="9.3093093093093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01-489A-94C7-10120F8D507C}"/>
                </c:ext>
              </c:extLst>
            </c:dLbl>
            <c:dLbl>
              <c:idx val="10"/>
              <c:layout>
                <c:manualLayout>
                  <c:x val="0"/>
                  <c:y val="0.10392544681914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01-489A-94C7-10120F8D507C}"/>
                </c:ext>
              </c:extLst>
            </c:dLbl>
            <c:dLbl>
              <c:idx val="11"/>
              <c:layout>
                <c:manualLayout>
                  <c:x val="0"/>
                  <c:y val="8.5156542932133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01-489A-94C7-10120F8D507C}"/>
                </c:ext>
              </c:extLst>
            </c:dLbl>
            <c:dLbl>
              <c:idx val="12"/>
              <c:layout>
                <c:manualLayout>
                  <c:x val="0"/>
                  <c:y val="9.6954130733658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01-489A-94C7-10120F8D507C}"/>
                </c:ext>
              </c:extLst>
            </c:dLbl>
            <c:dLbl>
              <c:idx val="13"/>
              <c:layout>
                <c:manualLayout>
                  <c:x val="0"/>
                  <c:y val="9.0090090090090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01-489A-94C7-10120F8D507C}"/>
                </c:ext>
              </c:extLst>
            </c:dLbl>
            <c:dLbl>
              <c:idx val="14"/>
              <c:layout>
                <c:manualLayout>
                  <c:x val="1.4108597120825934E-3"/>
                  <c:y val="8.5156542932133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D01-489A-94C7-10120F8D507C}"/>
                </c:ext>
              </c:extLst>
            </c:dLbl>
            <c:spPr>
              <a:solidFill>
                <a:schemeClr val="bg1"/>
              </a:solidFill>
              <a:ln>
                <a:solidFill>
                  <a:schemeClr val="tx1">
                    <a:lumMod val="50000"/>
                    <a:lumOff val="50000"/>
                  </a:schemeClr>
                </a:solidFill>
              </a:ln>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Лист2!$C$2:$C$16</c:f>
              <c:numCache>
                <c:formatCode>0.0</c:formatCode>
                <c:ptCount val="15"/>
                <c:pt idx="0">
                  <c:v>46.2</c:v>
                </c:pt>
                <c:pt idx="1">
                  <c:v>26.4</c:v>
                </c:pt>
                <c:pt idx="2">
                  <c:v>65.400000000000006</c:v>
                </c:pt>
                <c:pt idx="3">
                  <c:v>175.7</c:v>
                </c:pt>
                <c:pt idx="4">
                  <c:v>210.8</c:v>
                </c:pt>
                <c:pt idx="5">
                  <c:v>126.9</c:v>
                </c:pt>
                <c:pt idx="6">
                  <c:v>60</c:v>
                </c:pt>
                <c:pt idx="7">
                  <c:v>113.7</c:v>
                </c:pt>
                <c:pt idx="8">
                  <c:v>162.4</c:v>
                </c:pt>
                <c:pt idx="9">
                  <c:v>104</c:v>
                </c:pt>
                <c:pt idx="10">
                  <c:v>87.3</c:v>
                </c:pt>
                <c:pt idx="11">
                  <c:v>44.6</c:v>
                </c:pt>
                <c:pt idx="12">
                  <c:v>40</c:v>
                </c:pt>
                <c:pt idx="13">
                  <c:v>44.3</c:v>
                </c:pt>
                <c:pt idx="14">
                  <c:v>51</c:v>
                </c:pt>
              </c:numCache>
            </c:numRef>
          </c:val>
          <c:extLst>
            <c:ext xmlns:c16="http://schemas.microsoft.com/office/drawing/2014/chart" uri="{C3380CC4-5D6E-409C-BE32-E72D297353CC}">
              <c16:uniqueId val="{0000000F-1D01-489A-94C7-10120F8D507C}"/>
            </c:ext>
          </c:extLst>
        </c:ser>
        <c:dLbls>
          <c:showLegendKey val="0"/>
          <c:showVal val="1"/>
          <c:showCatName val="0"/>
          <c:showSerName val="0"/>
          <c:showPercent val="0"/>
          <c:showBubbleSize val="0"/>
        </c:dLbls>
        <c:gapWidth val="75"/>
        <c:axId val="161056640"/>
        <c:axId val="161063680"/>
      </c:barChart>
      <c:lineChart>
        <c:grouping val="standard"/>
        <c:varyColors val="0"/>
        <c:ser>
          <c:idx val="2"/>
          <c:order val="1"/>
          <c:tx>
            <c:strRef>
              <c:f>Лист2!$D$1</c:f>
              <c:strCache>
                <c:ptCount val="1"/>
                <c:pt idx="0">
                  <c:v>Темпы роста мирового производства, %</c:v>
                </c:pt>
              </c:strCache>
            </c:strRef>
          </c:tx>
          <c:spPr>
            <a:ln w="25400" cap="flat" cmpd="sng" algn="ctr">
              <a:solidFill>
                <a:schemeClr val="dk1"/>
              </a:solidFill>
              <a:prstDash val="solid"/>
            </a:ln>
            <a:effectLst/>
          </c:spPr>
          <c:marker>
            <c:spPr>
              <a:solidFill>
                <a:schemeClr val="lt1"/>
              </a:solidFill>
              <a:ln w="25400" cap="flat" cmpd="sng" algn="ctr">
                <a:solidFill>
                  <a:schemeClr val="dk1"/>
                </a:solidFill>
                <a:prstDash val="solid"/>
              </a:ln>
              <a:effectLst/>
            </c:spPr>
          </c:marker>
          <c:dLbls>
            <c:dLbl>
              <c:idx val="0"/>
              <c:layout>
                <c:manualLayout>
                  <c:x val="-2.1164021164021163E-2"/>
                  <c:y val="5.1051051051051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01-489A-94C7-10120F8D507C}"/>
                </c:ext>
              </c:extLst>
            </c:dLbl>
            <c:dLbl>
              <c:idx val="1"/>
              <c:layout>
                <c:manualLayout>
                  <c:x val="-2.1164021164021163E-2"/>
                  <c:y val="-3.0030030030030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01-489A-94C7-10120F8D507C}"/>
                </c:ext>
              </c:extLst>
            </c:dLbl>
            <c:dLbl>
              <c:idx val="2"/>
              <c:layout>
                <c:manualLayout>
                  <c:x val="-1.9753086419753114E-2"/>
                  <c:y val="3.3033033033033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D01-489A-94C7-10120F8D507C}"/>
                </c:ext>
              </c:extLst>
            </c:dLbl>
            <c:dLbl>
              <c:idx val="3"/>
              <c:layout>
                <c:manualLayout>
                  <c:x val="-2.1164021164021163E-2"/>
                  <c:y val="-4.504504504504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D01-489A-94C7-10120F8D507C}"/>
                </c:ext>
              </c:extLst>
            </c:dLbl>
            <c:dLbl>
              <c:idx val="4"/>
              <c:layout>
                <c:manualLayout>
                  <c:x val="-2.1164021164021163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D01-489A-94C7-10120F8D507C}"/>
                </c:ext>
              </c:extLst>
            </c:dLbl>
            <c:dLbl>
              <c:idx val="5"/>
              <c:layout>
                <c:manualLayout>
                  <c:x val="-1.4109347442680777E-3"/>
                  <c:y val="-9.009009009009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D01-489A-94C7-10120F8D507C}"/>
                </c:ext>
              </c:extLst>
            </c:dLbl>
            <c:dLbl>
              <c:idx val="6"/>
              <c:layout>
                <c:manualLayout>
                  <c:x val="-3.5669340357149276E-2"/>
                  <c:y val="-0.171921947256592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D01-489A-94C7-10120F8D507C}"/>
                </c:ext>
              </c:extLst>
            </c:dLbl>
            <c:dLbl>
              <c:idx val="7"/>
              <c:layout>
                <c:manualLayout>
                  <c:x val="-2.1164021164021163E-2"/>
                  <c:y val="-4.504504504504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D01-489A-94C7-10120F8D507C}"/>
                </c:ext>
              </c:extLst>
            </c:dLbl>
            <c:dLbl>
              <c:idx val="8"/>
              <c:layout>
                <c:manualLayout>
                  <c:x val="-2.1164021164021163E-2"/>
                  <c:y val="3.9039039039039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D01-489A-94C7-10120F8D507C}"/>
                </c:ext>
              </c:extLst>
            </c:dLbl>
            <c:dLbl>
              <c:idx val="9"/>
              <c:layout>
                <c:manualLayout>
                  <c:x val="-1.9753086419753086E-2"/>
                  <c:y val="4.5045045045045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D01-489A-94C7-10120F8D507C}"/>
                </c:ext>
              </c:extLst>
            </c:dLbl>
            <c:dLbl>
              <c:idx val="10"/>
              <c:layout>
                <c:manualLayout>
                  <c:x val="-2.1164021164021163E-2"/>
                  <c:y val="-3.903903903903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D01-489A-94C7-10120F8D507C}"/>
                </c:ext>
              </c:extLst>
            </c:dLbl>
            <c:dLbl>
              <c:idx val="11"/>
              <c:layout>
                <c:manualLayout>
                  <c:x val="-2.1164021164021062E-2"/>
                  <c:y val="-3.903903903903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D01-489A-94C7-10120F8D507C}"/>
                </c:ext>
              </c:extLst>
            </c:dLbl>
            <c:dLbl>
              <c:idx val="12"/>
              <c:layout>
                <c:manualLayout>
                  <c:x val="-1.9753086419752982E-2"/>
                  <c:y val="-3.6036036036036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D01-489A-94C7-10120F8D507C}"/>
                </c:ext>
              </c:extLst>
            </c:dLbl>
            <c:dLbl>
              <c:idx val="13"/>
              <c:layout>
                <c:manualLayout>
                  <c:x val="-1.6931216931216932E-2"/>
                  <c:y val="3.903903903903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D01-489A-94C7-10120F8D507C}"/>
                </c:ext>
              </c:extLst>
            </c:dLbl>
            <c:dLbl>
              <c:idx val="14"/>
              <c:layout>
                <c:manualLayout>
                  <c:x val="-2.2574955908289243E-2"/>
                  <c:y val="-3.9039039039039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D01-489A-94C7-10120F8D507C}"/>
                </c:ext>
              </c:extLst>
            </c:dLbl>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Лист2!$D$2:$D$16</c:f>
              <c:numCache>
                <c:formatCode>0.0</c:formatCode>
                <c:ptCount val="15"/>
                <c:pt idx="0">
                  <c:v>2.9</c:v>
                </c:pt>
                <c:pt idx="1">
                  <c:v>4.5</c:v>
                </c:pt>
                <c:pt idx="2">
                  <c:v>3.8</c:v>
                </c:pt>
                <c:pt idx="3">
                  <c:v>4.3</c:v>
                </c:pt>
                <c:pt idx="4">
                  <c:v>4.2</c:v>
                </c:pt>
                <c:pt idx="5">
                  <c:v>1.8</c:v>
                </c:pt>
                <c:pt idx="6">
                  <c:v>-1.7</c:v>
                </c:pt>
                <c:pt idx="7">
                  <c:v>4.3</c:v>
                </c:pt>
                <c:pt idx="8">
                  <c:v>3.2</c:v>
                </c:pt>
                <c:pt idx="9">
                  <c:v>2.4</c:v>
                </c:pt>
                <c:pt idx="10">
                  <c:v>2.6</c:v>
                </c:pt>
                <c:pt idx="11">
                  <c:v>2.9</c:v>
                </c:pt>
                <c:pt idx="12">
                  <c:v>2.8</c:v>
                </c:pt>
                <c:pt idx="13">
                  <c:v>2.5</c:v>
                </c:pt>
                <c:pt idx="14">
                  <c:v>3</c:v>
                </c:pt>
              </c:numCache>
            </c:numRef>
          </c:val>
          <c:smooth val="0"/>
          <c:extLst>
            <c:ext xmlns:c16="http://schemas.microsoft.com/office/drawing/2014/chart" uri="{C3380CC4-5D6E-409C-BE32-E72D297353CC}">
              <c16:uniqueId val="{0000001F-1D01-489A-94C7-10120F8D507C}"/>
            </c:ext>
          </c:extLst>
        </c:ser>
        <c:dLbls>
          <c:showLegendKey val="0"/>
          <c:showVal val="1"/>
          <c:showCatName val="0"/>
          <c:showSerName val="0"/>
          <c:showPercent val="0"/>
          <c:showBubbleSize val="0"/>
        </c:dLbls>
        <c:marker val="1"/>
        <c:smooth val="0"/>
        <c:axId val="161185792"/>
        <c:axId val="161065216"/>
      </c:lineChart>
      <c:catAx>
        <c:axId val="16105664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1063680"/>
        <c:crosses val="autoZero"/>
        <c:auto val="1"/>
        <c:lblAlgn val="ctr"/>
        <c:lblOffset val="100"/>
        <c:noMultiLvlLbl val="0"/>
      </c:catAx>
      <c:valAx>
        <c:axId val="161063680"/>
        <c:scaling>
          <c:orientation val="minMax"/>
        </c:scaling>
        <c:delete val="0"/>
        <c:axPos val="l"/>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1056640"/>
        <c:crosses val="autoZero"/>
        <c:crossBetween val="between"/>
      </c:valAx>
      <c:valAx>
        <c:axId val="161065216"/>
        <c:scaling>
          <c:orientation val="minMax"/>
        </c:scaling>
        <c:delete val="0"/>
        <c:axPos val="r"/>
        <c:numFmt formatCode="0.0" sourceLinked="0"/>
        <c:majorTickMark val="out"/>
        <c:minorTickMark val="none"/>
        <c:tickLblPos val="nextTo"/>
        <c:crossAx val="161185792"/>
        <c:crosses val="max"/>
        <c:crossBetween val="between"/>
      </c:valAx>
      <c:catAx>
        <c:axId val="161185792"/>
        <c:scaling>
          <c:orientation val="minMax"/>
        </c:scaling>
        <c:delete val="1"/>
        <c:axPos val="b"/>
        <c:numFmt formatCode="General" sourceLinked="1"/>
        <c:majorTickMark val="out"/>
        <c:minorTickMark val="none"/>
        <c:tickLblPos val="nextTo"/>
        <c:crossAx val="161065216"/>
        <c:crosses val="autoZero"/>
        <c:auto val="1"/>
        <c:lblAlgn val="ctr"/>
        <c:lblOffset val="100"/>
        <c:noMultiLvlLbl val="0"/>
      </c:cat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Лист3!$D$1</c:f>
              <c:strCache>
                <c:ptCount val="1"/>
                <c:pt idx="0">
                  <c:v>Железная руда, USD/т</c:v>
                </c:pt>
              </c:strCache>
            </c:strRef>
          </c:tx>
          <c:cat>
            <c:numRef>
              <c:f>Лист3!$A$2:$A$9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Лист3!$D$2:$D$9</c:f>
              <c:numCache>
                <c:formatCode>General</c:formatCode>
                <c:ptCount val="8"/>
                <c:pt idx="0">
                  <c:v>105</c:v>
                </c:pt>
                <c:pt idx="1">
                  <c:v>107</c:v>
                </c:pt>
                <c:pt idx="2">
                  <c:v>81.599999999999994</c:v>
                </c:pt>
                <c:pt idx="3" formatCode="0.0">
                  <c:v>87</c:v>
                </c:pt>
                <c:pt idx="4">
                  <c:v>61.6</c:v>
                </c:pt>
                <c:pt idx="5">
                  <c:v>35.1</c:v>
                </c:pt>
                <c:pt idx="6">
                  <c:v>57.7</c:v>
                </c:pt>
                <c:pt idx="7">
                  <c:v>71.8</c:v>
                </c:pt>
              </c:numCache>
            </c:numRef>
          </c:val>
          <c:smooth val="0"/>
          <c:extLst>
            <c:ext xmlns:c16="http://schemas.microsoft.com/office/drawing/2014/chart" uri="{C3380CC4-5D6E-409C-BE32-E72D297353CC}">
              <c16:uniqueId val="{00000000-7C81-4FCE-82E6-E86DCFB740E6}"/>
            </c:ext>
          </c:extLst>
        </c:ser>
        <c:ser>
          <c:idx val="1"/>
          <c:order val="1"/>
          <c:tx>
            <c:strRef>
              <c:f>Лист3!$F$1</c:f>
              <c:strCache>
                <c:ptCount val="1"/>
                <c:pt idx="0">
                  <c:v>Уголь коксующийся, USD/т</c:v>
                </c:pt>
              </c:strCache>
            </c:strRef>
          </c:tx>
          <c:cat>
            <c:numRef>
              <c:f>Лист3!$A$2:$A$9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Лист3!$F$2:$F$9</c:f>
              <c:numCache>
                <c:formatCode>General</c:formatCode>
                <c:ptCount val="8"/>
                <c:pt idx="0">
                  <c:v>150</c:v>
                </c:pt>
                <c:pt idx="1">
                  <c:v>182</c:v>
                </c:pt>
                <c:pt idx="2">
                  <c:v>190.6</c:v>
                </c:pt>
                <c:pt idx="3" formatCode="0.0">
                  <c:v>197</c:v>
                </c:pt>
                <c:pt idx="4">
                  <c:v>132.9</c:v>
                </c:pt>
                <c:pt idx="5">
                  <c:v>102.1</c:v>
                </c:pt>
                <c:pt idx="6">
                  <c:v>114.4</c:v>
                </c:pt>
                <c:pt idx="7">
                  <c:v>210.3</c:v>
                </c:pt>
              </c:numCache>
            </c:numRef>
          </c:val>
          <c:smooth val="0"/>
          <c:extLst>
            <c:ext xmlns:c16="http://schemas.microsoft.com/office/drawing/2014/chart" uri="{C3380CC4-5D6E-409C-BE32-E72D297353CC}">
              <c16:uniqueId val="{00000001-7C81-4FCE-82E6-E86DCFB740E6}"/>
            </c:ext>
          </c:extLst>
        </c:ser>
        <c:dLbls>
          <c:showLegendKey val="0"/>
          <c:showVal val="0"/>
          <c:showCatName val="0"/>
          <c:showSerName val="0"/>
          <c:showPercent val="0"/>
          <c:showBubbleSize val="0"/>
        </c:dLbls>
        <c:marker val="1"/>
        <c:smooth val="0"/>
        <c:axId val="161212672"/>
        <c:axId val="161214464"/>
      </c:lineChart>
      <c:lineChart>
        <c:grouping val="standard"/>
        <c:varyColors val="0"/>
        <c:ser>
          <c:idx val="2"/>
          <c:order val="2"/>
          <c:tx>
            <c:strRef>
              <c:f>Лист3!$B$1</c:f>
              <c:strCache>
                <c:ptCount val="1"/>
                <c:pt idx="0">
                  <c:v>Сталь, USD/т (правая шкала)</c:v>
                </c:pt>
              </c:strCache>
            </c:strRef>
          </c:tx>
          <c:cat>
            <c:numRef>
              <c:f>Лист3!$A$2:$A$9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Лист3!$B$2:$B$9</c:f>
              <c:numCache>
                <c:formatCode>General</c:formatCode>
                <c:ptCount val="8"/>
                <c:pt idx="0">
                  <c:v>700</c:v>
                </c:pt>
                <c:pt idx="1">
                  <c:v>790</c:v>
                </c:pt>
                <c:pt idx="2">
                  <c:v>689.4</c:v>
                </c:pt>
                <c:pt idx="3">
                  <c:v>688.6</c:v>
                </c:pt>
                <c:pt idx="4">
                  <c:v>624.6</c:v>
                </c:pt>
                <c:pt idx="5">
                  <c:v>466.6</c:v>
                </c:pt>
                <c:pt idx="6">
                  <c:v>483.8</c:v>
                </c:pt>
                <c:pt idx="7">
                  <c:v>613.9</c:v>
                </c:pt>
              </c:numCache>
            </c:numRef>
          </c:val>
          <c:smooth val="0"/>
          <c:extLst>
            <c:ext xmlns:c16="http://schemas.microsoft.com/office/drawing/2014/chart" uri="{C3380CC4-5D6E-409C-BE32-E72D297353CC}">
              <c16:uniqueId val="{00000002-7C81-4FCE-82E6-E86DCFB740E6}"/>
            </c:ext>
          </c:extLst>
        </c:ser>
        <c:dLbls>
          <c:showLegendKey val="0"/>
          <c:showVal val="0"/>
          <c:showCatName val="0"/>
          <c:showSerName val="0"/>
          <c:showPercent val="0"/>
          <c:showBubbleSize val="0"/>
        </c:dLbls>
        <c:marker val="1"/>
        <c:smooth val="0"/>
        <c:axId val="161217536"/>
        <c:axId val="161216000"/>
      </c:lineChart>
      <c:catAx>
        <c:axId val="161212672"/>
        <c:scaling>
          <c:orientation val="minMax"/>
        </c:scaling>
        <c:delete val="0"/>
        <c:axPos val="b"/>
        <c:numFmt formatCode="General" sourceLinked="1"/>
        <c:majorTickMark val="none"/>
        <c:minorTickMark val="none"/>
        <c:tickLblPos val="nextTo"/>
        <c:crossAx val="161214464"/>
        <c:crosses val="autoZero"/>
        <c:auto val="1"/>
        <c:lblAlgn val="ctr"/>
        <c:lblOffset val="100"/>
        <c:noMultiLvlLbl val="0"/>
      </c:catAx>
      <c:valAx>
        <c:axId val="161214464"/>
        <c:scaling>
          <c:orientation val="minMax"/>
        </c:scaling>
        <c:delete val="0"/>
        <c:axPos val="l"/>
        <c:majorGridlines/>
        <c:numFmt formatCode="General" sourceLinked="1"/>
        <c:majorTickMark val="none"/>
        <c:minorTickMark val="none"/>
        <c:tickLblPos val="nextTo"/>
        <c:crossAx val="161212672"/>
        <c:crosses val="autoZero"/>
        <c:crossBetween val="between"/>
        <c:majorUnit val="20"/>
      </c:valAx>
      <c:valAx>
        <c:axId val="161216000"/>
        <c:scaling>
          <c:orientation val="minMax"/>
          <c:min val="400"/>
        </c:scaling>
        <c:delete val="0"/>
        <c:axPos val="r"/>
        <c:numFmt formatCode="General" sourceLinked="1"/>
        <c:majorTickMark val="out"/>
        <c:minorTickMark val="none"/>
        <c:tickLblPos val="nextTo"/>
        <c:crossAx val="161217536"/>
        <c:crosses val="max"/>
        <c:crossBetween val="between"/>
        <c:majorUnit val="50"/>
      </c:valAx>
      <c:catAx>
        <c:axId val="161217536"/>
        <c:scaling>
          <c:orientation val="minMax"/>
        </c:scaling>
        <c:delete val="1"/>
        <c:axPos val="b"/>
        <c:numFmt formatCode="General" sourceLinked="1"/>
        <c:majorTickMark val="out"/>
        <c:minorTickMark val="none"/>
        <c:tickLblPos val="nextTo"/>
        <c:crossAx val="161216000"/>
        <c:crosses val="autoZero"/>
        <c:auto val="1"/>
        <c:lblAlgn val="ctr"/>
        <c:lblOffset val="100"/>
        <c:noMultiLvlLbl val="0"/>
      </c:cat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1</cp:revision>
  <dcterms:created xsi:type="dcterms:W3CDTF">2018-09-22T06:41:00Z</dcterms:created>
  <dcterms:modified xsi:type="dcterms:W3CDTF">2018-09-22T06:41:00Z</dcterms:modified>
</cp:coreProperties>
</file>