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995"/>
      </w:tblGrid>
      <w:tr w:rsidR="005F53EA" w:rsidRPr="005F53EA" w:rsidTr="002D53BD">
        <w:trPr>
          <w:jc w:val="center"/>
        </w:trPr>
        <w:tc>
          <w:tcPr>
            <w:tcW w:w="4188" w:type="dxa"/>
          </w:tcPr>
          <w:p w:rsidR="005F53EA" w:rsidRPr="005F53EA" w:rsidRDefault="005F53EA" w:rsidP="005F53EA">
            <w:pPr>
              <w:widowControl w:val="0"/>
              <w:rPr>
                <w:rFonts w:ascii="Times New Roman" w:hAnsi="Times New Roman"/>
                <w:sz w:val="28"/>
                <w:szCs w:val="28"/>
              </w:rPr>
            </w:pPr>
            <w:r w:rsidRPr="005F53EA">
              <w:rPr>
                <w:rFonts w:ascii="Times New Roman" w:hAnsi="Times New Roman"/>
                <w:b/>
                <w:sz w:val="28"/>
                <w:szCs w:val="28"/>
              </w:rPr>
              <w:t>УДК 338.124.4</w:t>
            </w:r>
          </w:p>
        </w:tc>
        <w:tc>
          <w:tcPr>
            <w:tcW w:w="5104" w:type="dxa"/>
            <w:tcMar>
              <w:left w:w="0" w:type="dxa"/>
              <w:right w:w="0" w:type="dxa"/>
            </w:tcMar>
          </w:tcPr>
          <w:p w:rsidR="005F53EA" w:rsidRPr="005F53EA" w:rsidRDefault="005F53EA" w:rsidP="005F53EA">
            <w:pPr>
              <w:widowControl w:val="0"/>
              <w:shd w:val="clear" w:color="auto" w:fill="FFFFFF"/>
              <w:rPr>
                <w:rFonts w:ascii="Times New Roman" w:hAnsi="Times New Roman"/>
                <w:sz w:val="28"/>
                <w:szCs w:val="28"/>
              </w:rPr>
            </w:pPr>
          </w:p>
        </w:tc>
      </w:tr>
      <w:tr w:rsidR="005F53EA" w:rsidRPr="005F53EA" w:rsidTr="002D53BD">
        <w:trPr>
          <w:jc w:val="center"/>
        </w:trPr>
        <w:tc>
          <w:tcPr>
            <w:tcW w:w="4188" w:type="dxa"/>
          </w:tcPr>
          <w:p w:rsidR="005F53EA" w:rsidRPr="005F53EA" w:rsidRDefault="005F53EA" w:rsidP="005F53EA">
            <w:pPr>
              <w:widowControl w:val="0"/>
              <w:jc w:val="right"/>
              <w:rPr>
                <w:rFonts w:ascii="Times New Roman" w:hAnsi="Times New Roman"/>
                <w:sz w:val="28"/>
                <w:szCs w:val="28"/>
              </w:rPr>
            </w:pPr>
          </w:p>
        </w:tc>
        <w:tc>
          <w:tcPr>
            <w:tcW w:w="5104" w:type="dxa"/>
            <w:tcMar>
              <w:left w:w="0" w:type="dxa"/>
              <w:right w:w="0" w:type="dxa"/>
            </w:tcMar>
          </w:tcPr>
          <w:p w:rsidR="005F53EA" w:rsidRPr="005F53EA" w:rsidRDefault="005F53EA" w:rsidP="005F53EA">
            <w:pPr>
              <w:numPr>
                <w:ilvl w:val="1"/>
                <w:numId w:val="0"/>
              </w:numPr>
              <w:tabs>
                <w:tab w:val="left" w:pos="709"/>
              </w:tabs>
              <w:suppressAutoHyphens/>
              <w:ind w:firstLine="709"/>
              <w:outlineLvl w:val="1"/>
              <w:rPr>
                <w:rFonts w:ascii="Times New Roman" w:hAnsi="Times New Roman"/>
                <w:b/>
                <w:bCs/>
                <w:sz w:val="28"/>
                <w:szCs w:val="28"/>
              </w:rPr>
            </w:pPr>
            <w:bookmarkStart w:id="0" w:name="_Toc518846508"/>
            <w:r w:rsidRPr="005F53EA">
              <w:rPr>
                <w:rFonts w:ascii="Times New Roman" w:hAnsi="Times New Roman"/>
                <w:b/>
                <w:bCs/>
                <w:sz w:val="28"/>
                <w:szCs w:val="28"/>
              </w:rPr>
              <w:t>И.А. Сичкар</w:t>
            </w:r>
            <w:bookmarkEnd w:id="0"/>
          </w:p>
          <w:p w:rsidR="005F53EA" w:rsidRPr="005F53EA" w:rsidRDefault="005F53EA" w:rsidP="005F53EA">
            <w:pPr>
              <w:rPr>
                <w:rFonts w:ascii="Times New Roman" w:hAnsi="Times New Roman"/>
                <w:i/>
                <w:sz w:val="28"/>
                <w:szCs w:val="28"/>
              </w:rPr>
            </w:pPr>
            <w:r w:rsidRPr="005F53EA">
              <w:rPr>
                <w:rFonts w:ascii="Times New Roman" w:hAnsi="Times New Roman"/>
                <w:i/>
                <w:sz w:val="28"/>
                <w:szCs w:val="28"/>
              </w:rPr>
              <w:t>ГОУ ВПО «Донецкая академия управления и государственной службы при Главе ДНР»,</w:t>
            </w:r>
          </w:p>
          <w:p w:rsidR="005F53EA" w:rsidRPr="005F53EA" w:rsidRDefault="005F53EA" w:rsidP="005F53EA">
            <w:pPr>
              <w:rPr>
                <w:rFonts w:ascii="Times New Roman" w:hAnsi="Times New Roman"/>
                <w:i/>
                <w:sz w:val="28"/>
                <w:szCs w:val="28"/>
              </w:rPr>
            </w:pPr>
            <w:r w:rsidRPr="005F53EA">
              <w:rPr>
                <w:rFonts w:ascii="Times New Roman" w:hAnsi="Times New Roman"/>
                <w:i/>
                <w:sz w:val="28"/>
                <w:szCs w:val="28"/>
              </w:rPr>
              <w:t>Донецк, Донецкая Народная Республика</w:t>
            </w:r>
          </w:p>
          <w:p w:rsidR="005F53EA" w:rsidRPr="005F53EA" w:rsidRDefault="005F53EA" w:rsidP="005F53EA">
            <w:pPr>
              <w:rPr>
                <w:rFonts w:ascii="Times New Roman" w:hAnsi="Times New Roman"/>
                <w:b/>
                <w:i/>
                <w:sz w:val="28"/>
                <w:szCs w:val="28"/>
                <w:shd w:val="clear" w:color="auto" w:fill="FFFFFF"/>
              </w:rPr>
            </w:pPr>
            <w:r w:rsidRPr="005F53EA">
              <w:rPr>
                <w:rFonts w:ascii="Times New Roman" w:hAnsi="Times New Roman"/>
                <w:i/>
                <w:sz w:val="28"/>
                <w:szCs w:val="28"/>
              </w:rPr>
              <w:t xml:space="preserve"> </w:t>
            </w:r>
            <w:r w:rsidRPr="005F53EA">
              <w:rPr>
                <w:rFonts w:ascii="Times New Roman" w:hAnsi="Times New Roman"/>
                <w:b/>
                <w:i/>
                <w:sz w:val="28"/>
                <w:szCs w:val="28"/>
                <w:shd w:val="clear" w:color="auto" w:fill="FFFFFF"/>
              </w:rPr>
              <w:t xml:space="preserve">I.A. Sichkar </w:t>
            </w:r>
          </w:p>
          <w:p w:rsidR="005F53EA" w:rsidRPr="005F53EA" w:rsidRDefault="005F53EA" w:rsidP="005F53EA">
            <w:pPr>
              <w:rPr>
                <w:rFonts w:ascii="Times New Roman" w:hAnsi="Times New Roman"/>
                <w:szCs w:val="28"/>
                <w:lang w:val="en-US"/>
              </w:rPr>
            </w:pPr>
            <w:r w:rsidRPr="005F53EA">
              <w:rPr>
                <w:rFonts w:ascii="Times New Roman" w:hAnsi="Times New Roman"/>
                <w:i/>
                <w:sz w:val="28"/>
                <w:szCs w:val="28"/>
                <w:shd w:val="clear" w:color="auto" w:fill="FFFFFF"/>
                <w:lang w:val="en-US"/>
              </w:rPr>
              <w:t>GOU VPO «Donetsk Academy of Management and Public Service under the Head of the People's Republic of Hungary» Donetsk, Donetsk People's Republic</w:t>
            </w:r>
          </w:p>
        </w:tc>
      </w:tr>
      <w:tr w:rsidR="005F53EA" w:rsidRPr="005F53EA" w:rsidTr="002D53BD">
        <w:trPr>
          <w:jc w:val="center"/>
        </w:trPr>
        <w:tc>
          <w:tcPr>
            <w:tcW w:w="4188" w:type="dxa"/>
          </w:tcPr>
          <w:p w:rsidR="005F53EA" w:rsidRPr="005F53EA" w:rsidRDefault="005F53EA" w:rsidP="005F53EA">
            <w:pPr>
              <w:keepNext/>
              <w:keepLines/>
              <w:ind w:hanging="28"/>
              <w:jc w:val="center"/>
              <w:outlineLvl w:val="0"/>
              <w:rPr>
                <w:rFonts w:ascii="Times New Roman" w:hAnsi="Times New Roman"/>
                <w:b/>
                <w:bCs/>
                <w:caps/>
                <w:sz w:val="28"/>
                <w:szCs w:val="28"/>
                <w:shd w:val="clear" w:color="auto" w:fill="FFFFFF"/>
                <w:lang w:val="en-US"/>
              </w:rPr>
            </w:pPr>
          </w:p>
        </w:tc>
        <w:tc>
          <w:tcPr>
            <w:tcW w:w="5104" w:type="dxa"/>
          </w:tcPr>
          <w:p w:rsidR="005F53EA" w:rsidRPr="005F53EA" w:rsidRDefault="005F53EA" w:rsidP="005F53EA">
            <w:pPr>
              <w:widowControl w:val="0"/>
              <w:jc w:val="both"/>
              <w:rPr>
                <w:rFonts w:ascii="Times New Roman" w:hAnsi="Times New Roman"/>
                <w:sz w:val="28"/>
                <w:szCs w:val="24"/>
                <w:lang w:val="en-US"/>
              </w:rPr>
            </w:pPr>
          </w:p>
        </w:tc>
      </w:tr>
      <w:tr w:rsidR="005F53EA" w:rsidRPr="005F53EA" w:rsidTr="002D53BD">
        <w:trPr>
          <w:jc w:val="center"/>
        </w:trPr>
        <w:tc>
          <w:tcPr>
            <w:tcW w:w="9292" w:type="dxa"/>
            <w:gridSpan w:val="2"/>
          </w:tcPr>
          <w:p w:rsidR="005F53EA" w:rsidRPr="005F53EA" w:rsidRDefault="005F53EA" w:rsidP="005F53EA">
            <w:pPr>
              <w:keepNext/>
              <w:keepLines/>
              <w:ind w:hanging="28"/>
              <w:jc w:val="center"/>
              <w:outlineLvl w:val="0"/>
              <w:rPr>
                <w:rFonts w:ascii="Times New Roman" w:hAnsi="Times New Roman"/>
                <w:b/>
                <w:bCs/>
                <w:caps/>
                <w:sz w:val="28"/>
                <w:szCs w:val="28"/>
                <w:shd w:val="clear" w:color="auto" w:fill="FFFFFF"/>
              </w:rPr>
            </w:pPr>
            <w:bookmarkStart w:id="1" w:name="_Toc518846509"/>
            <w:r w:rsidRPr="005F53EA">
              <w:rPr>
                <w:rFonts w:ascii="Times New Roman" w:hAnsi="Times New Roman"/>
                <w:b/>
                <w:bCs/>
                <w:caps/>
                <w:sz w:val="28"/>
                <w:szCs w:val="28"/>
                <w:shd w:val="clear" w:color="auto" w:fill="FFFFFF"/>
              </w:rPr>
              <w:t>АДАПТАЦИЯ МИРОВОГО ОПЫТА АНТИКРИЗИСНОГО УПРАВЛЕНИЯ НА ПРОМЫШЛЕННЫХ ПРЕДПРИЯТИЯХ ДОНЕЦКОГО РЕГИОНА</w:t>
            </w:r>
            <w:bookmarkEnd w:id="1"/>
          </w:p>
        </w:tc>
      </w:tr>
      <w:tr w:rsidR="005F53EA" w:rsidRPr="005F53EA" w:rsidTr="002D53BD">
        <w:trPr>
          <w:jc w:val="center"/>
        </w:trPr>
        <w:tc>
          <w:tcPr>
            <w:tcW w:w="9292" w:type="dxa"/>
            <w:gridSpan w:val="2"/>
          </w:tcPr>
          <w:p w:rsidR="005F53EA" w:rsidRPr="005F53EA" w:rsidRDefault="005F53EA" w:rsidP="005F53EA">
            <w:pPr>
              <w:jc w:val="both"/>
              <w:rPr>
                <w:rFonts w:ascii="Times New Roman" w:hAnsi="Times New Roman"/>
                <w:sz w:val="28"/>
                <w:szCs w:val="24"/>
              </w:rPr>
            </w:pPr>
          </w:p>
        </w:tc>
      </w:tr>
      <w:tr w:rsidR="005F53EA" w:rsidRPr="005F53EA" w:rsidTr="002D53BD">
        <w:trPr>
          <w:jc w:val="center"/>
        </w:trPr>
        <w:tc>
          <w:tcPr>
            <w:tcW w:w="9292" w:type="dxa"/>
            <w:gridSpan w:val="2"/>
          </w:tcPr>
          <w:p w:rsidR="005F53EA" w:rsidRPr="005F53EA" w:rsidRDefault="005F53EA" w:rsidP="005F53EA">
            <w:pPr>
              <w:jc w:val="center"/>
              <w:rPr>
                <w:rFonts w:ascii="Times New Roman" w:hAnsi="Times New Roman"/>
                <w:b/>
                <w:szCs w:val="28"/>
                <w:lang w:val="en-US"/>
              </w:rPr>
            </w:pPr>
            <w:r w:rsidRPr="005F53EA">
              <w:rPr>
                <w:rFonts w:ascii="Times New Roman" w:hAnsi="Times New Roman"/>
                <w:b/>
                <w:sz w:val="28"/>
                <w:szCs w:val="28"/>
                <w:shd w:val="clear" w:color="auto" w:fill="FFFFFF"/>
                <w:lang w:val="en-US"/>
              </w:rPr>
              <w:t>ADAPTATION OF THE WORLD EXPERIENCE OF ANTI-CRISIS MANAGEMENT AT INDUSTRIAL ENTERPRISES OF THE DONETSK REGION</w:t>
            </w:r>
          </w:p>
        </w:tc>
      </w:tr>
    </w:tbl>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val="en-US" w:eastAsia="ru-RU"/>
        </w:rPr>
      </w:pPr>
    </w:p>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eastAsia="ru-RU"/>
        </w:rPr>
      </w:pPr>
      <w:r w:rsidRPr="005F53EA">
        <w:rPr>
          <w:rFonts w:ascii="Times New Roman" w:eastAsia="Times New Roman" w:hAnsi="Times New Roman" w:cs="Times New Roman"/>
          <w:i/>
          <w:sz w:val="24"/>
          <w:szCs w:val="24"/>
          <w:lang w:eastAsia="ru-RU"/>
        </w:rPr>
        <w:t>Аннотация. В статье представлены формы антикризисного государственного управления в странах с развитой рыночной экономикой. Проанализированы подходы в направлении антикризисного управления стран мира. Обобщен мировой опыт решения проблем банкротства предприятий. Доказана эффективность деятельности специально созданных государственных органов по вопросам банкротства и финансовой несостоятельности.</w:t>
      </w:r>
    </w:p>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eastAsia="ru-RU"/>
        </w:rPr>
      </w:pPr>
      <w:r w:rsidRPr="005F53EA">
        <w:rPr>
          <w:rFonts w:ascii="Times New Roman" w:eastAsia="Times New Roman" w:hAnsi="Times New Roman" w:cs="Times New Roman"/>
          <w:bCs/>
          <w:i/>
          <w:sz w:val="24"/>
          <w:szCs w:val="24"/>
          <w:lang w:eastAsia="ru-RU"/>
        </w:rPr>
        <w:t xml:space="preserve">Ключевые слова: </w:t>
      </w:r>
      <w:r w:rsidRPr="005F53EA">
        <w:rPr>
          <w:rFonts w:ascii="Times New Roman" w:eastAsia="Times New Roman" w:hAnsi="Times New Roman" w:cs="Times New Roman"/>
          <w:i/>
          <w:sz w:val="24"/>
          <w:szCs w:val="24"/>
          <w:lang w:eastAsia="ru-RU"/>
        </w:rPr>
        <w:t>антикризисное управление, государственное антикризисное управление, кризис, банкротство предприятия, антикризисные меры</w:t>
      </w:r>
    </w:p>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eastAsia="ru-RU"/>
        </w:rPr>
      </w:pPr>
    </w:p>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val="en-US" w:eastAsia="ru-RU"/>
        </w:rPr>
      </w:pPr>
      <w:r w:rsidRPr="005F53EA">
        <w:rPr>
          <w:rFonts w:ascii="Times New Roman" w:eastAsia="Times New Roman" w:hAnsi="Times New Roman" w:cs="Times New Roman"/>
          <w:i/>
          <w:sz w:val="24"/>
          <w:szCs w:val="24"/>
          <w:lang w:val="en-US" w:eastAsia="ru-RU"/>
        </w:rPr>
        <w:t>Abstract. The article highlights the forms of anti-crisis public administration in countries with developed market economies. Approaches in the direction of crisis management of the countries of the world are analyzed. The world experience of the decision of problems of bankruptcy of the enterprises is generalized. The effectiveness of the activities of specially created state agencies on bankruptcy and financial insolvency was proved.</w:t>
      </w:r>
    </w:p>
    <w:p w:rsidR="005F53EA" w:rsidRPr="005F53EA" w:rsidRDefault="005F53EA" w:rsidP="005F53EA">
      <w:pPr>
        <w:spacing w:after="0" w:line="240" w:lineRule="auto"/>
        <w:ind w:firstLine="709"/>
        <w:jc w:val="both"/>
        <w:rPr>
          <w:rFonts w:ascii="Times New Roman" w:eastAsia="Times New Roman" w:hAnsi="Times New Roman" w:cs="Times New Roman"/>
          <w:i/>
          <w:sz w:val="24"/>
          <w:szCs w:val="24"/>
          <w:lang w:val="en-US" w:eastAsia="ru-RU"/>
        </w:rPr>
      </w:pPr>
      <w:r w:rsidRPr="005F53EA">
        <w:rPr>
          <w:rFonts w:ascii="Times New Roman" w:eastAsia="Times New Roman" w:hAnsi="Times New Roman" w:cs="Times New Roman"/>
          <w:i/>
          <w:sz w:val="24"/>
          <w:szCs w:val="24"/>
          <w:lang w:val="en-US" w:eastAsia="ru-RU"/>
        </w:rPr>
        <w:t>Keywords: crisis management, state crisis management, crisis, enterprise bankruptcy, anti-crisis measures</w:t>
      </w:r>
    </w:p>
    <w:p w:rsidR="005F53EA" w:rsidRPr="005F53EA" w:rsidRDefault="005F53EA" w:rsidP="005F53EA">
      <w:pPr>
        <w:spacing w:after="0" w:line="240" w:lineRule="auto"/>
        <w:ind w:firstLine="709"/>
        <w:jc w:val="both"/>
        <w:rPr>
          <w:rFonts w:ascii="Times New Roman" w:eastAsia="Times New Roman" w:hAnsi="Times New Roman" w:cs="Times New Roman"/>
          <w:b/>
          <w:sz w:val="28"/>
          <w:szCs w:val="28"/>
          <w:lang w:val="en-US" w:eastAsia="ru-RU"/>
        </w:rPr>
      </w:pP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b/>
          <w:sz w:val="28"/>
          <w:szCs w:val="28"/>
          <w:lang w:eastAsia="ru-RU"/>
        </w:rPr>
        <w:t>Постановка проблемы.</w:t>
      </w:r>
      <w:r w:rsidRPr="005F53EA">
        <w:rPr>
          <w:rFonts w:ascii="Times New Roman" w:eastAsia="Times New Roman" w:hAnsi="Times New Roman" w:cs="Times New Roman"/>
          <w:sz w:val="28"/>
          <w:szCs w:val="28"/>
          <w:lang w:eastAsia="ru-RU"/>
        </w:rPr>
        <w:t xml:space="preserve"> Суть антикризисного управления, несомненно, отличается от понимания управления в привычном общем употреблении. Антикризисное управление является функциональной областью менеджмента, отличающегося своими целевыми установками, проблематикой, задачами, средствами, методами и управленческими инструментами. Потребности применения антикризисных мероприятий требуют интеграции в современное мировое политическое и экономическое пространство. Строительство региональной экономики требует неотложных изменений в самой сущности антикризисного управления, его перестройки и трансформаций. Донецкая Народная Республика, направляя усилия и стремясь быть государством с </w:t>
      </w:r>
      <w:r w:rsidRPr="005F53EA">
        <w:rPr>
          <w:rFonts w:ascii="Times New Roman" w:eastAsia="Times New Roman" w:hAnsi="Times New Roman" w:cs="Times New Roman"/>
          <w:sz w:val="28"/>
          <w:szCs w:val="28"/>
          <w:lang w:eastAsia="ru-RU"/>
        </w:rPr>
        <w:lastRenderedPageBreak/>
        <w:t>рыночной экономикой, сталкивается с проблемами, связанными с кризисными явлениями, которые свойственны странам, которые функционируют в рамках рыночной модели развития. Эти страны имеют многолетний значительный опыт антикризисного управления в сложных условиях, преодоления кризисных явлений и создания механизмов превентивного предупреждения и защиты их от последствий. Проблема предупреждения и борьбы с кризисными явлениями никогда не стояла так остро для нашей республики. Развитие антикризисного управления в регионе может быть осуществлено путем адаптации мирового опыта в условия хозяйствования республики, что будет способствовать сохранению текущего состояния развития предприятий, недопущению обострения кризиса, выведению предприятий из кризисного состояния, во избежание ликвидации предприятий, находящихся на грани юридического банкротства, устранению последствий кризиса (антикризисных мер) и недопущению его повторного проявления. Этим обосновывается актуальность проведения исследований по задекларированной тематике.</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b/>
          <w:sz w:val="28"/>
          <w:szCs w:val="28"/>
          <w:lang w:eastAsia="ru-RU"/>
        </w:rPr>
        <w:t>Анализ предыдущих исследований и публикаций.</w:t>
      </w:r>
      <w:r w:rsidRPr="005F53EA">
        <w:rPr>
          <w:rFonts w:ascii="Times New Roman" w:eastAsia="Times New Roman" w:hAnsi="Times New Roman" w:cs="Times New Roman"/>
          <w:sz w:val="28"/>
          <w:szCs w:val="28"/>
          <w:lang w:eastAsia="ru-RU"/>
        </w:rPr>
        <w:t xml:space="preserve"> Проблемы теории и практики антикризисного управления исследуют как отечественные ученые-экономисты, так и зарубежные. В настоящее время в мире накоплен значительный опыт реализации антикризисного менеджмента и прогнозирования кризисных явлений субъектов хозяйствования.</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Вопросам антикризисного управления посвящены труды как зарубежных, так отечественных ученых-экономистов, среди которых такие авторы, как: Кривов В. Д. [1], Коротков Э. М. [2], Дейнека А. В. [3], Анищенко Л. О. [4] и др.</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Однако, несмотря на значительное количество научных исследований, связанных с сущностью и инструментами антикризисного управления, а также повышение актуальности и практической значимости этой проблемы в последнее время, она пока остается нерешенной до конца. </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Основательного исследования требует комплекс вопросов, касающихся возможности использования инструментария антикризисного менеджмента, применяемого в ведущих странах мира. Это обуславливает актуальность и необходимость проведения дальнейшего исследования данной проблемы. </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iCs/>
          <w:sz w:val="28"/>
          <w:szCs w:val="28"/>
          <w:lang w:eastAsia="ru-RU"/>
        </w:rPr>
        <w:t>Объект исследования</w:t>
      </w:r>
      <w:r w:rsidRPr="005F53EA">
        <w:rPr>
          <w:rFonts w:ascii="Times New Roman" w:eastAsia="Times New Roman" w:hAnsi="Times New Roman" w:cs="Times New Roman"/>
          <w:i/>
          <w:iCs/>
          <w:sz w:val="28"/>
          <w:szCs w:val="28"/>
          <w:lang w:eastAsia="ru-RU"/>
        </w:rPr>
        <w:t xml:space="preserve"> – </w:t>
      </w:r>
      <w:r w:rsidRPr="005F53EA">
        <w:rPr>
          <w:rFonts w:ascii="Times New Roman" w:eastAsia="Times New Roman" w:hAnsi="Times New Roman" w:cs="Times New Roman"/>
          <w:sz w:val="28"/>
          <w:szCs w:val="28"/>
          <w:lang w:eastAsia="ru-RU"/>
        </w:rPr>
        <w:t>процесс формирования и развития антикризисного управления в ведущих странах мира.</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b/>
          <w:sz w:val="28"/>
          <w:szCs w:val="28"/>
          <w:lang w:eastAsia="ru-RU"/>
        </w:rPr>
        <w:t>Цель исследования.</w:t>
      </w:r>
      <w:r w:rsidRPr="005F53EA">
        <w:rPr>
          <w:rFonts w:ascii="Times New Roman" w:eastAsia="Times New Roman" w:hAnsi="Times New Roman" w:cs="Times New Roman"/>
          <w:sz w:val="28"/>
          <w:szCs w:val="28"/>
          <w:lang w:eastAsia="ru-RU"/>
        </w:rPr>
        <w:t xml:space="preserve"> Исходя из научной и практической актуальности темы опираясь на результаты изучения отдельных ее аспектов в мировой и национальной экономической литературе, целью статьи является систематизация и обобщение опыта ведущих стран мира по формированию и внедрению эффективной системы антикризисного управления.</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Для достижения поставленной цели намечены следующие задачи:</w:t>
      </w:r>
    </w:p>
    <w:p w:rsidR="005F53EA" w:rsidRPr="005F53EA" w:rsidRDefault="005F53EA" w:rsidP="005F53EA">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исследовать формы антикризисного государственного управления в странах с развитой рыночной экономикой;</w:t>
      </w:r>
    </w:p>
    <w:p w:rsidR="005F53EA" w:rsidRPr="005F53EA" w:rsidRDefault="005F53EA" w:rsidP="005F53EA">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рассмотреть подходы и приоритеты стран мира в процессе реализации антикризисных мероприятий;</w:t>
      </w:r>
    </w:p>
    <w:p w:rsidR="005F53EA" w:rsidRPr="005F53EA" w:rsidRDefault="005F53EA" w:rsidP="005F53EA">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lastRenderedPageBreak/>
        <w:t>обобщить опыт деятельности специально созданных государственных органов по вопросам банкротства.</w:t>
      </w:r>
    </w:p>
    <w:p w:rsidR="005F53EA" w:rsidRPr="005F53EA" w:rsidRDefault="005F53EA" w:rsidP="005F53EA">
      <w:pPr>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b/>
          <w:sz w:val="28"/>
          <w:szCs w:val="28"/>
          <w:lang w:eastAsia="ru-RU"/>
        </w:rPr>
        <w:t xml:space="preserve">Основные результаты исследования. </w:t>
      </w:r>
      <w:r w:rsidRPr="005F53EA">
        <w:rPr>
          <w:rFonts w:ascii="Times New Roman" w:eastAsia="Times New Roman" w:hAnsi="Times New Roman" w:cs="Times New Roman"/>
          <w:sz w:val="28"/>
          <w:szCs w:val="28"/>
          <w:lang w:eastAsia="ru-RU"/>
        </w:rPr>
        <w:t>Стабильное состояние и кризис выступают постоянными антагонизмами в развитии любой системы. Исходя из этого, антикризисное управление может рассматриваться как система мероприятий по диагностике, предупреждению, нейтрализации и преодоления кризисных явлений и их причин на всех уровнях экономики.</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Отечественные предприятия сейчас находятся на пути адаптации к европейским и мировым условиям хозяйствования. Сложные микроэкономические процессы, происходящие на предприятиях, усложняются условиями глобального финансового кризиса. Факт неподготовленности большинства современных товаропроизводителей к функционированию в новых экономических условиях не вызывает сомнения. Обсуждение этих вопросов с научно-практической точки зрения должно помочь субъектам пересмотреть процесс хозяйствования в кризисных условиях. Необходимость переосмысления и перестройки стратегии хозяйственного учета для эффективного функционирования в условиях Всемирной торговой организации стоит перед экономистами всех субъектов хозяйствования независимо от области деятельности. Наиболее болезненно этап вхождения в национальный рынок иностранных товаропроизводителей с многолетним опытом существования ощущают отечественные производители. В таких условиях необходимы соответствующие шаги по изучению положительного международного опыта и оперативного внедрения его в практику отечественного промышленного производства. Каждый субъект, осуществляющий определенную хозяйственную деятельность, сегодня выглядит как автономная микроэкономическая хозяйственная единица со специфическими, только ей присущими экономическими характеристиками и юридическими формами. Одной из таких форм является модель организации финансово-хозяйственной деятельности, которая формируется на предприятии и утверждается собственником или уполномоченным лицом. Специфика экономических отношений в нашей стране, нестабильность внешней среды, растущая инфляция обусловливают необходимость особых управленческих действий для эффективного управления предприятием. В таких условиях обеспечение управленческих функций зависит от уровня информационного обеспечения, предоставляемого учетной системой. Эффективное управление внутрихозяйственными процессами современного предприятия зависит от своевременных, целенаправленных и, главное, обоснованных решений, требующих использования разнообразной хозяйственной информации. Регулярное получение такой информации, ее достоверность и доходчивость во многом зависит от сложившейся учетной политики на микроэкономическом уровне. Требования нормативных актов в области экономики и бухгалтерского учета требуют от предприятия из года в год соблюдения неизменных правил, позволяет сопоставлять финансовую информацию за разные периоды и анализировать имущественное и финансовое положение предприятий. Для </w:t>
      </w:r>
      <w:r w:rsidRPr="005F53EA">
        <w:rPr>
          <w:rFonts w:ascii="Times New Roman" w:eastAsia="Times New Roman" w:hAnsi="Times New Roman" w:cs="Times New Roman"/>
          <w:sz w:val="28"/>
          <w:szCs w:val="28"/>
          <w:lang w:eastAsia="ru-RU"/>
        </w:rPr>
        <w:lastRenderedPageBreak/>
        <w:t>формирования современной учетной политики необходимо анализировать различные микроэкономические показатели. Развитие информационных технологий позволяет создавать управленческие информационные системы, способствующие повышению эффективности управленческих решений. Использование информации управленческого учета ориентирует руководство на перспективу согласно стратегии развития.</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Антикризисное государственное управление в странах с развитой рыночной экономикой выражается в различных формах.</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Соединенные Штаты Америки реализуют политику антикризисного управления через совершенствование законодательства в области занятости, увеличение рабочих мест, особенно для молодежи, разработку региональных структурных программ. В параграфе 310 гл. 58 Свода законов США указано, что эффективные меры правительства должны содержать специально разработанные программы по снижению высокого уровня безработицы, по уменьшению безработицы среди отдельных групп работников; усиление роли экспорта и улучшения международной конкурентоспособности сельскохозяйственных и промышленных товаров, а также автомобилестроения [1]. В США законодательно закреплена (пункт 311 того же Свода) антициклическая политика в вопросах занятости. В процессе реализации этой программы запланировано ускорение финансирования государством строительных работ, увеличение занятости в госсекторе, увеличение размеров и продолжительности страховых выплат по безработице, профессиональное обучение в частном и государственном секторах, обеспечения молодежи рабочими местами и программ развития, направленных на создание рабочих мест в отраслях, имеющих приоритетное значение для страны.</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Еще одним, не менее важным, направлением совершенствования антикризисного государственного управления в США является координация усилий различных государственных ведомств по разработке и проведению экономической политики. Для реализации этого направления с 1984 функционирует Президентский совет по совершенствованию управления, приоритетным направлениями деятельности, которой являются:</w:t>
      </w:r>
    </w:p>
    <w:p w:rsidR="005F53EA" w:rsidRPr="005F53EA" w:rsidRDefault="005F53EA" w:rsidP="005F53EA">
      <w:pPr>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совершенствование управления финансовыми ресурсами;</w:t>
      </w:r>
    </w:p>
    <w:p w:rsidR="005F53EA" w:rsidRPr="005F53EA" w:rsidRDefault="005F53EA" w:rsidP="005F53EA">
      <w:pPr>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оптимизация управленческих инструментов и процедур;</w:t>
      </w:r>
    </w:p>
    <w:p w:rsidR="005F53EA" w:rsidRPr="005F53EA" w:rsidRDefault="005F53EA" w:rsidP="005F53EA">
      <w:pPr>
        <w:spacing w:after="0" w:line="240" w:lineRule="auto"/>
        <w:ind w:firstLine="720"/>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координация деятельности генеральных инспекторов;</w:t>
      </w:r>
    </w:p>
    <w:p w:rsidR="005F53EA" w:rsidRPr="005F53EA" w:rsidRDefault="005F53EA" w:rsidP="005F53EA">
      <w:pPr>
        <w:tabs>
          <w:tab w:val="left" w:pos="142"/>
        </w:tabs>
        <w:spacing w:after="0" w:line="240" w:lineRule="auto"/>
        <w:ind w:firstLine="720"/>
        <w:jc w:val="both"/>
        <w:rPr>
          <w:rFonts w:ascii="Times New Roman" w:eastAsia="Times New Roman" w:hAnsi="Times New Roman" w:cs="Times New Roman"/>
          <w:sz w:val="28"/>
          <w:szCs w:val="24"/>
          <w:lang w:eastAsia="ru-RU"/>
        </w:rPr>
      </w:pPr>
      <w:r w:rsidRPr="005F53EA">
        <w:rPr>
          <w:rFonts w:ascii="Times New Roman" w:eastAsia="Times New Roman" w:hAnsi="Times New Roman" w:cs="Times New Roman"/>
          <w:sz w:val="28"/>
          <w:szCs w:val="28"/>
          <w:lang w:eastAsia="ru-RU"/>
        </w:rPr>
        <w:t xml:space="preserve">– координация усилий различных ведомств по сокращению числа преступлений </w:t>
      </w:r>
      <w:r w:rsidRPr="005F53EA">
        <w:rPr>
          <w:rFonts w:ascii="Times New Roman" w:eastAsia="Times New Roman" w:hAnsi="Times New Roman" w:cs="Times New Roman"/>
          <w:sz w:val="28"/>
          <w:szCs w:val="24"/>
          <w:lang w:eastAsia="ru-RU"/>
        </w:rPr>
        <w:t xml:space="preserve">и тому подобное. </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В России функции специального органа по вопросам банкротства выполняет Федеральная служба России по финансовому оздоровлению и банкротству. Эта служба является представителем власти, осуществляющим исполнительные, контрольные, разрешительные, регулирующие и организационные функции, предусмотренные законодательством страны о финансовом оздоровлении и неплатежеспособности организаций. Его деятельность нацелена на предупреждение экономической несостоятельности предприятий всех форм собственности и подчинения, лицензирование </w:t>
      </w:r>
      <w:r w:rsidRPr="005F53EA">
        <w:rPr>
          <w:rFonts w:ascii="Times New Roman" w:eastAsia="Times New Roman" w:hAnsi="Times New Roman" w:cs="Times New Roman"/>
          <w:sz w:val="28"/>
          <w:szCs w:val="28"/>
          <w:lang w:eastAsia="ru-RU"/>
        </w:rPr>
        <w:lastRenderedPageBreak/>
        <w:t>деятельности антикризисных управляющих, подготовку и проведение аттестации управляющих по делам об экономической несостоятельности [5].</w:t>
      </w:r>
    </w:p>
    <w:p w:rsidR="005F53EA" w:rsidRPr="005F53EA" w:rsidRDefault="005F53EA" w:rsidP="005F53EA">
      <w:pPr>
        <w:tabs>
          <w:tab w:val="left" w:pos="142"/>
        </w:tabs>
        <w:spacing w:after="0" w:line="240" w:lineRule="auto"/>
        <w:ind w:firstLine="709"/>
        <w:jc w:val="both"/>
        <w:rPr>
          <w:rFonts w:ascii="Times New Roman" w:eastAsia="Times New Roman" w:hAnsi="Times New Roman" w:cs="Times New Roman"/>
          <w:sz w:val="28"/>
          <w:szCs w:val="24"/>
          <w:lang w:eastAsia="ru-RU"/>
        </w:rPr>
      </w:pPr>
      <w:r w:rsidRPr="005F53EA">
        <w:rPr>
          <w:rFonts w:ascii="Times New Roman" w:eastAsia="Times New Roman" w:hAnsi="Times New Roman" w:cs="Times New Roman"/>
          <w:sz w:val="28"/>
          <w:szCs w:val="24"/>
          <w:lang w:eastAsia="ru-RU"/>
        </w:rPr>
        <w:t>Положительным опытом для Донецкого региона было бы использование механизма антикризисного государственного управления в периоды экстремального развития. Этот механизм допускает усиление государственного контроля над отраслями и предприятиями в период кризиса к централизованному администрированию в сферах производства и распределения продукции [2].</w:t>
      </w:r>
    </w:p>
    <w:p w:rsidR="005F53EA" w:rsidRPr="005F53EA" w:rsidRDefault="005F53EA" w:rsidP="005F53EA">
      <w:pPr>
        <w:spacing w:after="0" w:line="240" w:lineRule="auto"/>
        <w:ind w:left="7" w:firstLine="702"/>
        <w:jc w:val="both"/>
        <w:rPr>
          <w:rFonts w:ascii="Times New Roman" w:eastAsia="Times New Roman" w:hAnsi="Times New Roman" w:cs="Times New Roman"/>
          <w:sz w:val="18"/>
          <w:szCs w:val="18"/>
          <w:lang w:eastAsia="ru-RU"/>
        </w:rPr>
      </w:pPr>
      <w:r w:rsidRPr="005F53EA">
        <w:rPr>
          <w:rFonts w:ascii="Times New Roman" w:eastAsia="Times New Roman" w:hAnsi="Times New Roman" w:cs="Times New Roman"/>
          <w:sz w:val="28"/>
          <w:szCs w:val="28"/>
          <w:lang w:eastAsia="ru-RU"/>
        </w:rPr>
        <w:t>Исследуя опыт Европейского союза в направлении антикризисного управления, следует отметить, что в нем превалирует селективный подход, направленный на стимулирование деятельности конкретных компаний. Считается, что только частный бизнес может эффективно решать вопросы подъема депрессивных регионов и предприятий посредством создания малых и средних предприятий передовых отраслей [6]. Однако каждая страна Европейского союза имеет и свои особенности.</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Так, главной особенностью экономики промышленно развитой Франции является то, что государственный сектор доминирует в базовых отраслях, хотя степень государственного участия в них может варьироваться. Государственные компании действуют преимущественно в автомобилестроении, авиакосмической отрасли, химической и нефтегазовой промышленности, черной металлургии [3].</w:t>
      </w:r>
    </w:p>
    <w:p w:rsidR="005F53EA" w:rsidRPr="005F53EA" w:rsidRDefault="005F53EA" w:rsidP="005F53EA">
      <w:pPr>
        <w:spacing w:after="0" w:line="240" w:lineRule="auto"/>
        <w:ind w:firstLine="709"/>
        <w:jc w:val="both"/>
        <w:rPr>
          <w:rFonts w:ascii="Times New Roman" w:eastAsia="Times New Roman" w:hAnsi="Times New Roman" w:cs="Times New Roman"/>
          <w:spacing w:val="-6"/>
          <w:sz w:val="28"/>
          <w:szCs w:val="28"/>
          <w:lang w:eastAsia="ru-RU"/>
        </w:rPr>
      </w:pPr>
      <w:r w:rsidRPr="005F53EA">
        <w:rPr>
          <w:rFonts w:ascii="Times New Roman" w:eastAsia="Times New Roman" w:hAnsi="Times New Roman" w:cs="Times New Roman"/>
          <w:spacing w:val="-6"/>
          <w:sz w:val="28"/>
          <w:szCs w:val="28"/>
          <w:lang w:eastAsia="ru-RU"/>
        </w:rPr>
        <w:t>До недавнего времени в экономической политике стран Латинской Америки также преобладало традиционное государственное вмешательство в экономику. Однако сейчас уже превалируют либеральные рыночные системы с косвенным участием государства (в основном финансовые и фискальные) в экономическом регулировании. Этому способствовало существенное сокращение доли государственного сектора и рост степени открытости экономики.</w:t>
      </w:r>
    </w:p>
    <w:p w:rsidR="005F53EA" w:rsidRPr="005F53EA" w:rsidRDefault="005F53EA" w:rsidP="005F53EA">
      <w:pPr>
        <w:widowControl w:val="0"/>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В государственной экономической политике стран Центральной и Восточной Европы взят курс на разгосударствление и приватизацию государственной собственности, формирования свободных товаропроизводителей, являющихся владельцами не только произведенной продукции, но и средств производства. Тенденция развития – разнообразие форм собственности. </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Исследование тенденций приватизации государств Центральной и Восточной Европы позволили определить общую тенденцию – определение четкой границы приватизации, которая выделила ту часть собственности, которая остается в руках государства. Это касается железной дороги, почты, телеграфа и других предприятий, имеющих общественное значение. В странах Центральной и Восточной Европы имеет место процесс «реприватизации». Кроме того, имеет место процесс передачи собственности работникам предприятий.</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Сравнительный анализ систем регулирования банкротства в странах с развитой экономикой можно провести по следующим направлениям:</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lastRenderedPageBreak/>
        <w:t>- направленность концепции регулирования банкротства; ее основное содержание; основные правовые инструменты регулирования банкротства (табл. 1);</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возможность оздоровления субъектов хозяйствования, предусмотренная законодательной базой и формирование плана оздоровления;</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 органы, регулирующие банкротство, их компетенции и функции [4]. </w:t>
      </w:r>
    </w:p>
    <w:p w:rsidR="005F53EA" w:rsidRPr="005F53EA" w:rsidRDefault="005F53EA" w:rsidP="005F53EA">
      <w:pPr>
        <w:spacing w:after="0" w:line="240" w:lineRule="auto"/>
        <w:jc w:val="right"/>
        <w:rPr>
          <w:rFonts w:ascii="Times New Roman" w:eastAsia="Times New Roman" w:hAnsi="Times New Roman" w:cs="Times New Roman"/>
          <w:sz w:val="28"/>
          <w:szCs w:val="28"/>
          <w:lang w:eastAsia="ru-RU"/>
        </w:rPr>
      </w:pPr>
    </w:p>
    <w:p w:rsidR="005F53EA" w:rsidRPr="005F53EA" w:rsidRDefault="005F53EA" w:rsidP="005F53EA">
      <w:pPr>
        <w:spacing w:after="0" w:line="240" w:lineRule="auto"/>
        <w:jc w:val="right"/>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Таблица 1 </w:t>
      </w:r>
    </w:p>
    <w:p w:rsidR="005F53EA" w:rsidRPr="005F53EA" w:rsidRDefault="005F53EA" w:rsidP="005F53EA">
      <w:pPr>
        <w:spacing w:after="0" w:line="240" w:lineRule="auto"/>
        <w:jc w:val="center"/>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Сравнительный анализ зарубежных систем регулирования банкротства</w:t>
      </w:r>
    </w:p>
    <w:tbl>
      <w:tblPr>
        <w:tblStyle w:val="a3"/>
        <w:tblW w:w="9639" w:type="dxa"/>
        <w:tblLook w:val="04A0" w:firstRow="1" w:lastRow="0" w:firstColumn="1" w:lastColumn="0" w:noHBand="0" w:noVBand="1"/>
      </w:tblPr>
      <w:tblGrid>
        <w:gridCol w:w="2844"/>
        <w:gridCol w:w="3581"/>
        <w:gridCol w:w="3214"/>
      </w:tblGrid>
      <w:tr w:rsidR="005F53EA" w:rsidRPr="005F53EA" w:rsidTr="002D53BD">
        <w:tc>
          <w:tcPr>
            <w:tcW w:w="2844" w:type="dxa"/>
          </w:tcPr>
          <w:p w:rsidR="005F53EA" w:rsidRPr="005F53EA" w:rsidRDefault="005F53EA" w:rsidP="005F53EA">
            <w:pPr>
              <w:jc w:val="center"/>
              <w:rPr>
                <w:rFonts w:ascii="Times New Roman" w:hAnsi="Times New Roman"/>
                <w:sz w:val="24"/>
                <w:szCs w:val="24"/>
              </w:rPr>
            </w:pPr>
            <w:r w:rsidRPr="005F53EA">
              <w:rPr>
                <w:rFonts w:ascii="Times New Roman" w:hAnsi="Times New Roman"/>
                <w:sz w:val="24"/>
                <w:szCs w:val="24"/>
              </w:rPr>
              <w:t>Страна / направленность концепции</w:t>
            </w:r>
          </w:p>
        </w:tc>
        <w:tc>
          <w:tcPr>
            <w:tcW w:w="3581" w:type="dxa"/>
          </w:tcPr>
          <w:p w:rsidR="005F53EA" w:rsidRPr="005F53EA" w:rsidRDefault="005F53EA" w:rsidP="005F53EA">
            <w:pPr>
              <w:jc w:val="center"/>
              <w:rPr>
                <w:rFonts w:ascii="Times New Roman" w:hAnsi="Times New Roman"/>
                <w:sz w:val="24"/>
                <w:szCs w:val="24"/>
              </w:rPr>
            </w:pPr>
            <w:r w:rsidRPr="005F53EA">
              <w:rPr>
                <w:rFonts w:ascii="Times New Roman" w:hAnsi="Times New Roman"/>
                <w:sz w:val="24"/>
                <w:szCs w:val="24"/>
              </w:rPr>
              <w:t>Основное содержание концепции</w:t>
            </w:r>
          </w:p>
        </w:tc>
        <w:tc>
          <w:tcPr>
            <w:tcW w:w="3214" w:type="dxa"/>
          </w:tcPr>
          <w:p w:rsidR="005F53EA" w:rsidRPr="005F53EA" w:rsidRDefault="005F53EA" w:rsidP="005F53EA">
            <w:pPr>
              <w:jc w:val="center"/>
              <w:rPr>
                <w:rFonts w:ascii="Times New Roman" w:hAnsi="Times New Roman"/>
                <w:sz w:val="24"/>
                <w:szCs w:val="24"/>
              </w:rPr>
            </w:pPr>
            <w:r w:rsidRPr="005F53EA">
              <w:rPr>
                <w:rFonts w:ascii="Times New Roman" w:hAnsi="Times New Roman"/>
                <w:sz w:val="24"/>
                <w:szCs w:val="24"/>
              </w:rPr>
              <w:t>Правовые инструменты регулирования банкротства</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 xml:space="preserve">Франция / продебиторская </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Сохранить действующее предприятие, рабочие места; удовлетворить требования кредиторов</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Наблюдение при первых признаках банкротства;</w:t>
            </w:r>
          </w:p>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Великобритания / прокредиторская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Минимизация потерь для платежеспособной стороны</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Мировое соглашение; 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Германия / прокредиторская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Максимальное удовлетворение требований кредиторов</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Конкурсное производство; 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США / продебиторская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Реорганизация предпочтительнее ликвидации</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Реорганизация; 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Италия / продебиторская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Оздоровление предприятий с целью повышения уровня занятости</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Контролируемое управление; принудительная 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Чехия / прокредиторская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 xml:space="preserve">Удовлетворение требований кредиторов </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Конкурсное производство; ликвидация</w:t>
            </w:r>
          </w:p>
        </w:tc>
      </w:tr>
      <w:tr w:rsidR="005F53EA" w:rsidRPr="005F53EA" w:rsidTr="002D53BD">
        <w:tc>
          <w:tcPr>
            <w:tcW w:w="284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Россия / продебиторская</w:t>
            </w:r>
          </w:p>
        </w:tc>
        <w:tc>
          <w:tcPr>
            <w:tcW w:w="3581"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Оздоровление предприятий с целью оздоровления экономики</w:t>
            </w:r>
          </w:p>
        </w:tc>
        <w:tc>
          <w:tcPr>
            <w:tcW w:w="3214" w:type="dxa"/>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Наблюдение и санация,  ликвидация</w:t>
            </w:r>
          </w:p>
        </w:tc>
      </w:tr>
    </w:tbl>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Результаты проведенного исследования позволили выявить следующие отличия. Во-первых, это время созыва собрания кредиторов, то есть официальное определение момента их участия в процессе. Если в законодательстве США и Великобритании его назначение возможно после официального признания должника несостоятельным, то в Германии и Франции – после принятия ходатайства о возбуждении дела о несостоятельности. Это еще раз подтверждает демократичность антикризисной политики Германии и Франции [7].</w:t>
      </w:r>
    </w:p>
    <w:p w:rsidR="005F53EA" w:rsidRPr="005F53EA" w:rsidRDefault="005F53EA" w:rsidP="005F53EA">
      <w:pPr>
        <w:widowControl w:val="0"/>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Обобщая и сравнивая особенности, функционирование институтов банкротства в различных странах европейские эксперты условно разделили на радикально прокредиторские, умеренно прокредиторские, нейтральные, умеренно продебиторские и радикально продебиторские. Рассматривая эти группы, можно отметить, что в первых двух градациях доминируют интересы кредиторов, в двух последних – должника. Институты таких стран, как Россия и Великобритания относятся к радикально прокредиторской группе, а институты США, Франции, Японии – радикально продебиторской. </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sz w:val="28"/>
          <w:szCs w:val="28"/>
          <w:lang w:eastAsia="ru-RU"/>
        </w:rPr>
        <w:t xml:space="preserve">Несмотря на особенности антикризисной политики, важным критерием несостоятельности является возможность реабилитации должника. При этом в </w:t>
      </w:r>
      <w:r w:rsidRPr="005F53EA">
        <w:rPr>
          <w:rFonts w:ascii="Times New Roman" w:eastAsia="Times New Roman" w:hAnsi="Times New Roman" w:cs="Times New Roman"/>
          <w:sz w:val="28"/>
          <w:szCs w:val="28"/>
          <w:lang w:eastAsia="ru-RU"/>
        </w:rPr>
        <w:lastRenderedPageBreak/>
        <w:t>разных странах существуют разные подходы к этому понятию. Так, во Франции и США речь идет о реабилитации предприятия-должника, а в Германии и Японии о реабилитации его бизнеса. Реабилитация предприятия-должника достигается путем нахождения компромиссов, проведения реорганизационных мероприятий. Реабилитация бизнеса подразумевает сохранение вида деятельности, деловых связей, рабочих мест, персонала.</w:t>
      </w:r>
    </w:p>
    <w:p w:rsidR="005F53EA" w:rsidRPr="005F53EA" w:rsidRDefault="005F53EA" w:rsidP="005F53EA">
      <w:pPr>
        <w:spacing w:after="0" w:line="240" w:lineRule="auto"/>
        <w:ind w:firstLine="709"/>
        <w:jc w:val="both"/>
        <w:rPr>
          <w:rFonts w:ascii="Times New Roman" w:eastAsia="Times New Roman" w:hAnsi="Times New Roman" w:cs="Times New Roman"/>
          <w:sz w:val="28"/>
          <w:szCs w:val="28"/>
          <w:lang w:eastAsia="ru-RU"/>
        </w:rPr>
      </w:pPr>
      <w:r w:rsidRPr="005F53EA">
        <w:rPr>
          <w:rFonts w:ascii="Times New Roman" w:eastAsia="Times New Roman" w:hAnsi="Times New Roman" w:cs="Times New Roman"/>
          <w:b/>
          <w:sz w:val="28"/>
          <w:szCs w:val="28"/>
          <w:lang w:eastAsia="ru-RU"/>
        </w:rPr>
        <w:t>Выводы.</w:t>
      </w:r>
      <w:r w:rsidRPr="005F53EA">
        <w:rPr>
          <w:rFonts w:ascii="Times New Roman" w:eastAsia="Times New Roman" w:hAnsi="Times New Roman" w:cs="Times New Roman"/>
          <w:sz w:val="28"/>
          <w:szCs w:val="28"/>
          <w:lang w:eastAsia="ru-RU"/>
        </w:rPr>
        <w:t xml:space="preserve"> Таким образом, исследовав мировой опыт решения проблемы банкротства предприятий, можно выделить два подхода к этой проблеме. Первый – это реабилитация предприятия, второй – реабилитация бизнеса. Следует отметить, что, несмотря на все, второй подход доминирует. И мировая практика далее чаще дает возможность должнику реабилитироваться.</w:t>
      </w:r>
    </w:p>
    <w:tbl>
      <w:tblPr>
        <w:tblStyle w:val="a3"/>
        <w:tblW w:w="48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08"/>
      </w:tblGrid>
      <w:tr w:rsidR="005F53EA" w:rsidRPr="005F53EA" w:rsidTr="002D53BD">
        <w:trPr>
          <w:jc w:val="center"/>
        </w:trPr>
        <w:tc>
          <w:tcPr>
            <w:tcW w:w="5000" w:type="pct"/>
            <w:gridSpan w:val="2"/>
          </w:tcPr>
          <w:p w:rsidR="005F53EA" w:rsidRPr="005F53EA" w:rsidRDefault="005F53EA" w:rsidP="005F53EA">
            <w:pPr>
              <w:contextualSpacing/>
              <w:jc w:val="both"/>
              <w:rPr>
                <w:rFonts w:ascii="Times New Roman" w:eastAsia="Calibri" w:hAnsi="Times New Roman"/>
                <w:sz w:val="24"/>
                <w:szCs w:val="24"/>
              </w:rPr>
            </w:pPr>
          </w:p>
        </w:tc>
      </w:tr>
      <w:tr w:rsidR="005F53EA" w:rsidRPr="005F53EA" w:rsidTr="002D53BD">
        <w:trPr>
          <w:jc w:val="center"/>
        </w:trPr>
        <w:tc>
          <w:tcPr>
            <w:tcW w:w="5000" w:type="pct"/>
            <w:gridSpan w:val="2"/>
          </w:tcPr>
          <w:p w:rsidR="005F53EA" w:rsidRPr="005F53EA" w:rsidRDefault="005F53EA" w:rsidP="005F53EA">
            <w:pPr>
              <w:ind w:firstLine="709"/>
              <w:jc w:val="center"/>
              <w:rPr>
                <w:rFonts w:ascii="Times New Roman" w:hAnsi="Times New Roman"/>
                <w:b/>
                <w:sz w:val="28"/>
                <w:szCs w:val="28"/>
              </w:rPr>
            </w:pPr>
            <w:r w:rsidRPr="005F53EA">
              <w:rPr>
                <w:rFonts w:ascii="Times New Roman" w:hAnsi="Times New Roman"/>
                <w:b/>
                <w:sz w:val="28"/>
                <w:szCs w:val="28"/>
              </w:rPr>
              <w:t>Список литературы</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rPr>
                <w:rFonts w:ascii="Times New Roman" w:hAnsi="Times New Roman"/>
                <w:sz w:val="24"/>
                <w:szCs w:val="24"/>
              </w:rPr>
            </w:pPr>
            <w:r w:rsidRPr="005F53EA">
              <w:rPr>
                <w:rFonts w:ascii="Times New Roman" w:hAnsi="Times New Roman"/>
                <w:sz w:val="24"/>
                <w:szCs w:val="24"/>
              </w:rPr>
              <w:t>Кривов В. Д. Законодательное регулирование макроэкономических процессов в США [Электронный ресурс] /Д. Кривов // Аналитический вестник Совета Федерации ФС РФ. — 2002. — № 3(159). — С. 18. — Режим доступа: \www/URL: http://www.budgetrf.ru/Publications/Magazines/ VestnikSF/2002/vestniksf159-03/vestniksf159-03030.htm</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rPr>
                <w:rFonts w:ascii="Times New Roman" w:hAnsi="Times New Roman"/>
                <w:b/>
                <w:bCs/>
                <w:sz w:val="24"/>
                <w:szCs w:val="24"/>
              </w:rPr>
            </w:pPr>
            <w:r w:rsidRPr="005F53EA">
              <w:rPr>
                <w:rFonts w:ascii="Times New Roman" w:hAnsi="Times New Roman"/>
                <w:sz w:val="24"/>
                <w:szCs w:val="24"/>
              </w:rPr>
              <w:t>Коротков Э. М. Антикризисное управление: учеб. /под ред. Э. М. Короткова. — М.: ИНФРА-М, 2001. — 432 с.</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rPr>
                <w:rFonts w:ascii="Times New Roman" w:hAnsi="Times New Roman"/>
                <w:sz w:val="24"/>
                <w:szCs w:val="24"/>
              </w:rPr>
            </w:pPr>
            <w:r w:rsidRPr="005F53EA">
              <w:rPr>
                <w:rFonts w:ascii="Times New Roman" w:hAnsi="Times New Roman"/>
                <w:sz w:val="24"/>
                <w:szCs w:val="24"/>
              </w:rPr>
              <w:t xml:space="preserve">Дейнека О. В. Взаємозв’язок масштабів та ефективності функціонування державного сектору економіки /В. Дейнека // Актуальні проблеми економіки. — 2009. — № 9(99). — С. 58–64. </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jc w:val="both"/>
              <w:rPr>
                <w:rFonts w:ascii="Times New Roman" w:hAnsi="Times New Roman"/>
                <w:b/>
                <w:bCs/>
                <w:sz w:val="24"/>
                <w:szCs w:val="24"/>
              </w:rPr>
            </w:pPr>
            <w:r w:rsidRPr="005F53EA">
              <w:rPr>
                <w:rFonts w:ascii="Times New Roman" w:hAnsi="Times New Roman"/>
                <w:sz w:val="24"/>
                <w:szCs w:val="24"/>
              </w:rPr>
              <w:t>Аніщенко Л. О. Зарубіжний досвід антикризового управління / Л. О. Аніщенко // Економічний простірю. — 2012. — № 68. — С. 143–156.</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jc w:val="both"/>
              <w:rPr>
                <w:rFonts w:ascii="Times New Roman" w:hAnsi="Times New Roman"/>
                <w:b/>
                <w:bCs/>
                <w:sz w:val="24"/>
                <w:szCs w:val="24"/>
              </w:rPr>
            </w:pPr>
            <w:r w:rsidRPr="005F53EA">
              <w:rPr>
                <w:rFonts w:ascii="Times New Roman" w:hAnsi="Times New Roman"/>
                <w:sz w:val="24"/>
                <w:szCs w:val="24"/>
              </w:rPr>
              <w:t>Бірюков, О. М. Транскордонні банкрутства: проблеми і шляхи розв’язання [Текст]: монографія / О. М. Бірюков. — К.: Вид-во видавничо-поліграфічний центр Київський університет, 2008. — 318 с.</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rPr>
            </w:pPr>
          </w:p>
        </w:tc>
        <w:tc>
          <w:tcPr>
            <w:tcW w:w="4816" w:type="pct"/>
          </w:tcPr>
          <w:p w:rsidR="005F53EA" w:rsidRPr="005F53EA" w:rsidRDefault="005F53EA" w:rsidP="005F53EA">
            <w:pPr>
              <w:jc w:val="both"/>
              <w:rPr>
                <w:rFonts w:ascii="Times New Roman" w:hAnsi="Times New Roman"/>
                <w:sz w:val="24"/>
                <w:szCs w:val="24"/>
                <w:lang w:val="en-US"/>
              </w:rPr>
            </w:pPr>
            <w:r w:rsidRPr="005F53EA">
              <w:rPr>
                <w:rFonts w:ascii="Times New Roman" w:hAnsi="Times New Roman"/>
                <w:sz w:val="24"/>
                <w:szCs w:val="24"/>
                <w:lang w:val="en-US"/>
              </w:rPr>
              <w:t>European Financial Stability and Integration [Electronic re-source]: Report 2011. — April 2012. — Available at: \www/ URL: http://ec.europa.eu/internal_market/economic_analysis/ docs/financial_integration_reports/20120426-efsir_en.pdf</w:t>
            </w:r>
          </w:p>
        </w:tc>
      </w:tr>
      <w:tr w:rsidR="005F53EA" w:rsidRPr="005F53EA" w:rsidTr="002D53BD">
        <w:trPr>
          <w:jc w:val="center"/>
        </w:trPr>
        <w:tc>
          <w:tcPr>
            <w:tcW w:w="184" w:type="pct"/>
          </w:tcPr>
          <w:p w:rsidR="005F53EA" w:rsidRPr="005F53EA" w:rsidRDefault="005F53EA" w:rsidP="005F53EA">
            <w:pPr>
              <w:widowControl w:val="0"/>
              <w:numPr>
                <w:ilvl w:val="0"/>
                <w:numId w:val="2"/>
              </w:numPr>
              <w:contextualSpacing/>
              <w:jc w:val="both"/>
              <w:rPr>
                <w:rFonts w:ascii="Times New Roman" w:eastAsia="Calibri" w:hAnsi="Times New Roman"/>
                <w:sz w:val="24"/>
                <w:szCs w:val="24"/>
                <w:lang w:val="en-US"/>
              </w:rPr>
            </w:pPr>
          </w:p>
        </w:tc>
        <w:tc>
          <w:tcPr>
            <w:tcW w:w="4816" w:type="pct"/>
          </w:tcPr>
          <w:p w:rsidR="005F53EA" w:rsidRPr="005F53EA" w:rsidRDefault="005F53EA" w:rsidP="005F53EA">
            <w:pPr>
              <w:jc w:val="both"/>
              <w:rPr>
                <w:rFonts w:ascii="Times New Roman" w:hAnsi="Times New Roman"/>
                <w:sz w:val="24"/>
                <w:szCs w:val="24"/>
              </w:rPr>
            </w:pPr>
            <w:r w:rsidRPr="005F53EA">
              <w:rPr>
                <w:rFonts w:ascii="Times New Roman" w:hAnsi="Times New Roman"/>
                <w:sz w:val="24"/>
                <w:szCs w:val="24"/>
              </w:rPr>
              <w:t xml:space="preserve">Прогнозирование банкротства: основные методики и проблемы/ [Електронний ресурс] Эйтингон В.Н. / Режим доступа к  статье: </w:t>
            </w:r>
            <w:hyperlink r:id="rId5" w:history="1">
              <w:r w:rsidRPr="005F53EA">
                <w:rPr>
                  <w:rFonts w:ascii="Times New Roman" w:hAnsi="Times New Roman"/>
                  <w:color w:val="0000FF"/>
                  <w:sz w:val="24"/>
                  <w:szCs w:val="24"/>
                  <w:u w:val="single"/>
                </w:rPr>
                <w:t>http://www.iteam.ru/publications/ strategy/section_16/article_141/</w:t>
              </w:r>
            </w:hyperlink>
          </w:p>
        </w:tc>
      </w:tr>
    </w:tbl>
    <w:p w:rsidR="00410842" w:rsidRDefault="00410842">
      <w:bookmarkStart w:id="2" w:name="_GoBack"/>
      <w:bookmarkEnd w:id="2"/>
    </w:p>
    <w:sectPr w:rsidR="00410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1338"/>
    <w:multiLevelType w:val="hybridMultilevel"/>
    <w:tmpl w:val="086ED714"/>
    <w:lvl w:ilvl="0" w:tplc="72C8E39E">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9155D6"/>
    <w:multiLevelType w:val="hybridMultilevel"/>
    <w:tmpl w:val="DE120D18"/>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EA"/>
    <w:rsid w:val="00410842"/>
    <w:rsid w:val="005F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5680-2B23-445D-912D-10D7884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eam.ru/publications/%20strategy/section_16/article_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2720</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1</cp:revision>
  <dcterms:created xsi:type="dcterms:W3CDTF">2018-09-22T07:23:00Z</dcterms:created>
  <dcterms:modified xsi:type="dcterms:W3CDTF">2018-09-22T07:24:00Z</dcterms:modified>
</cp:coreProperties>
</file>