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4995"/>
      </w:tblGrid>
      <w:tr w:rsidR="005F53EA" w:rsidRPr="005F53EA" w:rsidTr="002D53BD">
        <w:trPr>
          <w:jc w:val="center"/>
        </w:trPr>
        <w:tc>
          <w:tcPr>
            <w:tcW w:w="4188" w:type="dxa"/>
          </w:tcPr>
          <w:p w:rsidR="005F53EA" w:rsidRPr="005F53EA" w:rsidRDefault="005F53EA" w:rsidP="005F53EA">
            <w:pPr>
              <w:widowControl w:val="0"/>
              <w:rPr>
                <w:rFonts w:ascii="Times New Roman" w:hAnsi="Times New Roman"/>
                <w:sz w:val="28"/>
                <w:szCs w:val="28"/>
              </w:rPr>
            </w:pPr>
            <w:r w:rsidRPr="005F53EA">
              <w:rPr>
                <w:rFonts w:ascii="Times New Roman" w:hAnsi="Times New Roman"/>
                <w:b/>
                <w:sz w:val="28"/>
                <w:szCs w:val="28"/>
              </w:rPr>
              <w:t>УДК 338.124.4</w:t>
            </w:r>
          </w:p>
        </w:tc>
        <w:tc>
          <w:tcPr>
            <w:tcW w:w="5104" w:type="dxa"/>
            <w:tcMar>
              <w:left w:w="0" w:type="dxa"/>
              <w:right w:w="0" w:type="dxa"/>
            </w:tcMar>
          </w:tcPr>
          <w:p w:rsidR="005F53EA" w:rsidRPr="005F53EA" w:rsidRDefault="005F53EA" w:rsidP="005F53EA">
            <w:pPr>
              <w:widowControl w:val="0"/>
              <w:shd w:val="clear" w:color="auto" w:fill="FFFFFF"/>
              <w:rPr>
                <w:rFonts w:ascii="Times New Roman" w:hAnsi="Times New Roman"/>
                <w:sz w:val="28"/>
                <w:szCs w:val="28"/>
              </w:rPr>
            </w:pPr>
          </w:p>
        </w:tc>
      </w:tr>
      <w:tr w:rsidR="005F53EA" w:rsidRPr="005F53EA" w:rsidTr="002D53BD">
        <w:trPr>
          <w:jc w:val="center"/>
        </w:trPr>
        <w:tc>
          <w:tcPr>
            <w:tcW w:w="4188" w:type="dxa"/>
          </w:tcPr>
          <w:p w:rsidR="005F53EA" w:rsidRPr="005F53EA" w:rsidRDefault="005F53EA" w:rsidP="005F53EA">
            <w:pPr>
              <w:widowControl w:val="0"/>
              <w:jc w:val="right"/>
              <w:rPr>
                <w:rFonts w:ascii="Times New Roman" w:hAnsi="Times New Roman"/>
                <w:sz w:val="28"/>
                <w:szCs w:val="28"/>
              </w:rPr>
            </w:pPr>
          </w:p>
        </w:tc>
        <w:tc>
          <w:tcPr>
            <w:tcW w:w="5104" w:type="dxa"/>
            <w:tcMar>
              <w:left w:w="0" w:type="dxa"/>
              <w:right w:w="0" w:type="dxa"/>
            </w:tcMar>
          </w:tcPr>
          <w:p w:rsidR="005F53EA" w:rsidRPr="005F53EA" w:rsidRDefault="005F53EA" w:rsidP="005F53EA">
            <w:pPr>
              <w:numPr>
                <w:ilvl w:val="1"/>
                <w:numId w:val="0"/>
              </w:numPr>
              <w:tabs>
                <w:tab w:val="left" w:pos="709"/>
              </w:tabs>
              <w:suppressAutoHyphens/>
              <w:ind w:firstLine="709"/>
              <w:outlineLvl w:val="1"/>
              <w:rPr>
                <w:rFonts w:ascii="Times New Roman" w:hAnsi="Times New Roman"/>
                <w:b/>
                <w:bCs/>
                <w:sz w:val="28"/>
                <w:szCs w:val="28"/>
              </w:rPr>
            </w:pPr>
            <w:bookmarkStart w:id="0" w:name="_Toc518846508"/>
            <w:r w:rsidRPr="005F53EA">
              <w:rPr>
                <w:rFonts w:ascii="Times New Roman" w:hAnsi="Times New Roman"/>
                <w:b/>
                <w:bCs/>
                <w:sz w:val="28"/>
                <w:szCs w:val="28"/>
              </w:rPr>
              <w:t>И.А. Сичкар</w:t>
            </w:r>
            <w:bookmarkEnd w:id="0"/>
          </w:p>
          <w:p w:rsidR="005F53EA" w:rsidRPr="005F53EA" w:rsidRDefault="005F53EA" w:rsidP="005F53EA">
            <w:pPr>
              <w:rPr>
                <w:rFonts w:ascii="Times New Roman" w:hAnsi="Times New Roman"/>
                <w:i/>
                <w:sz w:val="28"/>
                <w:szCs w:val="28"/>
              </w:rPr>
            </w:pPr>
            <w:r w:rsidRPr="005F53EA">
              <w:rPr>
                <w:rFonts w:ascii="Times New Roman" w:hAnsi="Times New Roman"/>
                <w:i/>
                <w:sz w:val="28"/>
                <w:szCs w:val="28"/>
              </w:rPr>
              <w:t>ГОУ ВПО «Донецкая академия управления и государственной службы при Главе ДНР»,</w:t>
            </w:r>
          </w:p>
          <w:p w:rsidR="005F53EA" w:rsidRPr="005F53EA" w:rsidRDefault="005F53EA" w:rsidP="005F53EA">
            <w:pPr>
              <w:rPr>
                <w:rFonts w:ascii="Times New Roman" w:hAnsi="Times New Roman"/>
                <w:i/>
                <w:sz w:val="28"/>
                <w:szCs w:val="28"/>
              </w:rPr>
            </w:pPr>
            <w:r w:rsidRPr="005F53EA">
              <w:rPr>
                <w:rFonts w:ascii="Times New Roman" w:hAnsi="Times New Roman"/>
                <w:i/>
                <w:sz w:val="28"/>
                <w:szCs w:val="28"/>
              </w:rPr>
              <w:t>Донецк, Донецкая Народная Республика</w:t>
            </w:r>
          </w:p>
          <w:p w:rsidR="005F53EA" w:rsidRPr="005F53EA" w:rsidRDefault="005F53EA" w:rsidP="005F53EA">
            <w:pPr>
              <w:rPr>
                <w:rFonts w:ascii="Times New Roman" w:hAnsi="Times New Roman"/>
                <w:b/>
                <w:i/>
                <w:sz w:val="28"/>
                <w:szCs w:val="28"/>
                <w:shd w:val="clear" w:color="auto" w:fill="FFFFFF"/>
              </w:rPr>
            </w:pPr>
            <w:r w:rsidRPr="005F53EA">
              <w:rPr>
                <w:rFonts w:ascii="Times New Roman" w:hAnsi="Times New Roman"/>
                <w:i/>
                <w:sz w:val="28"/>
                <w:szCs w:val="28"/>
              </w:rPr>
              <w:t xml:space="preserve"> </w:t>
            </w:r>
            <w:r w:rsidRPr="005F53EA">
              <w:rPr>
                <w:rFonts w:ascii="Times New Roman" w:hAnsi="Times New Roman"/>
                <w:b/>
                <w:i/>
                <w:sz w:val="28"/>
                <w:szCs w:val="28"/>
                <w:shd w:val="clear" w:color="auto" w:fill="FFFFFF"/>
              </w:rPr>
              <w:t xml:space="preserve">I.A. Sichkar </w:t>
            </w:r>
          </w:p>
          <w:p w:rsidR="005F53EA" w:rsidRPr="005F53EA" w:rsidRDefault="005F53EA" w:rsidP="005F53EA">
            <w:pPr>
              <w:rPr>
                <w:rFonts w:ascii="Times New Roman" w:hAnsi="Times New Roman"/>
                <w:szCs w:val="28"/>
                <w:lang w:val="en-US"/>
              </w:rPr>
            </w:pPr>
            <w:r w:rsidRPr="005F53EA">
              <w:rPr>
                <w:rFonts w:ascii="Times New Roman" w:hAnsi="Times New Roman"/>
                <w:i/>
                <w:sz w:val="28"/>
                <w:szCs w:val="28"/>
                <w:shd w:val="clear" w:color="auto" w:fill="FFFFFF"/>
                <w:lang w:val="en-US"/>
              </w:rPr>
              <w:t>GOU VPO «Donetsk Academy of Management and Public Service under the Head of the People's Republic of Hungary» Donetsk, Donetsk People's Republic</w:t>
            </w:r>
          </w:p>
        </w:tc>
      </w:tr>
      <w:tr w:rsidR="005F53EA" w:rsidRPr="005F53EA" w:rsidTr="002D53BD">
        <w:trPr>
          <w:jc w:val="center"/>
        </w:trPr>
        <w:tc>
          <w:tcPr>
            <w:tcW w:w="4188" w:type="dxa"/>
          </w:tcPr>
          <w:p w:rsidR="005F53EA" w:rsidRPr="005F53EA" w:rsidRDefault="005F53EA" w:rsidP="005F53EA">
            <w:pPr>
              <w:keepNext/>
              <w:keepLines/>
              <w:ind w:hanging="28"/>
              <w:jc w:val="center"/>
              <w:outlineLvl w:val="0"/>
              <w:rPr>
                <w:rFonts w:ascii="Times New Roman" w:hAnsi="Times New Roman"/>
                <w:b/>
                <w:bCs/>
                <w:caps/>
                <w:sz w:val="28"/>
                <w:szCs w:val="28"/>
                <w:shd w:val="clear" w:color="auto" w:fill="FFFFFF"/>
                <w:lang w:val="en-US"/>
              </w:rPr>
            </w:pPr>
          </w:p>
        </w:tc>
        <w:tc>
          <w:tcPr>
            <w:tcW w:w="5104" w:type="dxa"/>
          </w:tcPr>
          <w:p w:rsidR="005F53EA" w:rsidRPr="005F53EA" w:rsidRDefault="005F53EA" w:rsidP="005F53EA">
            <w:pPr>
              <w:widowControl w:val="0"/>
              <w:jc w:val="both"/>
              <w:rPr>
                <w:rFonts w:ascii="Times New Roman" w:hAnsi="Times New Roman"/>
                <w:sz w:val="28"/>
                <w:szCs w:val="24"/>
                <w:lang w:val="en-US"/>
              </w:rPr>
            </w:pPr>
          </w:p>
        </w:tc>
      </w:tr>
      <w:tr w:rsidR="005F53EA" w:rsidRPr="005F53EA" w:rsidTr="002D53BD">
        <w:trPr>
          <w:jc w:val="center"/>
        </w:trPr>
        <w:tc>
          <w:tcPr>
            <w:tcW w:w="9292" w:type="dxa"/>
            <w:gridSpan w:val="2"/>
          </w:tcPr>
          <w:p w:rsidR="005F53EA" w:rsidRPr="005F53EA" w:rsidRDefault="005F53EA" w:rsidP="005F53EA">
            <w:pPr>
              <w:keepNext/>
              <w:keepLines/>
              <w:ind w:hanging="28"/>
              <w:jc w:val="center"/>
              <w:outlineLvl w:val="0"/>
              <w:rPr>
                <w:rFonts w:ascii="Times New Roman" w:hAnsi="Times New Roman"/>
                <w:b/>
                <w:bCs/>
                <w:caps/>
                <w:sz w:val="28"/>
                <w:szCs w:val="28"/>
                <w:shd w:val="clear" w:color="auto" w:fill="FFFFFF"/>
              </w:rPr>
            </w:pPr>
            <w:bookmarkStart w:id="1" w:name="_Toc518846509"/>
            <w:r w:rsidRPr="005F53EA">
              <w:rPr>
                <w:rFonts w:ascii="Times New Roman" w:hAnsi="Times New Roman"/>
                <w:b/>
                <w:bCs/>
                <w:caps/>
                <w:sz w:val="28"/>
                <w:szCs w:val="28"/>
                <w:shd w:val="clear" w:color="auto" w:fill="FFFFFF"/>
              </w:rPr>
              <w:t>АДАПТАЦИЯ МИРОВОГО ОПЫТА АНТИКРИЗИСНОГО УПРАВЛЕНИЯ НА ПРОМЫШЛЕННЫХ ПРЕДПРИЯТИЯХ ДОНЕЦКОГО РЕГИОНА</w:t>
            </w:r>
            <w:bookmarkEnd w:id="1"/>
          </w:p>
        </w:tc>
      </w:tr>
      <w:tr w:rsidR="005F53EA" w:rsidRPr="005F53EA" w:rsidTr="002D53BD">
        <w:trPr>
          <w:jc w:val="center"/>
        </w:trPr>
        <w:tc>
          <w:tcPr>
            <w:tcW w:w="9292" w:type="dxa"/>
            <w:gridSpan w:val="2"/>
          </w:tcPr>
          <w:p w:rsidR="005F53EA" w:rsidRPr="005F53EA" w:rsidRDefault="005F53EA" w:rsidP="005F53EA">
            <w:pPr>
              <w:jc w:val="both"/>
              <w:rPr>
                <w:rFonts w:ascii="Times New Roman" w:hAnsi="Times New Roman"/>
                <w:sz w:val="28"/>
                <w:szCs w:val="24"/>
              </w:rPr>
            </w:pPr>
          </w:p>
        </w:tc>
      </w:tr>
      <w:tr w:rsidR="005F53EA" w:rsidRPr="005F53EA" w:rsidTr="002D53BD">
        <w:trPr>
          <w:jc w:val="center"/>
        </w:trPr>
        <w:tc>
          <w:tcPr>
            <w:tcW w:w="9292" w:type="dxa"/>
            <w:gridSpan w:val="2"/>
          </w:tcPr>
          <w:p w:rsidR="005F53EA" w:rsidRPr="005F53EA" w:rsidRDefault="005F53EA" w:rsidP="005F53EA">
            <w:pPr>
              <w:jc w:val="center"/>
              <w:rPr>
                <w:rFonts w:ascii="Times New Roman" w:hAnsi="Times New Roman"/>
                <w:b/>
                <w:szCs w:val="28"/>
                <w:lang w:val="en-US"/>
              </w:rPr>
            </w:pPr>
            <w:r w:rsidRPr="005F53EA">
              <w:rPr>
                <w:rFonts w:ascii="Times New Roman" w:hAnsi="Times New Roman"/>
                <w:b/>
                <w:sz w:val="28"/>
                <w:szCs w:val="28"/>
                <w:shd w:val="clear" w:color="auto" w:fill="FFFFFF"/>
                <w:lang w:val="en-US"/>
              </w:rPr>
              <w:t>ADAPTATION OF THE WORLD EXPERIENCE OF ANTI-CRISIS MANAGEMENT AT INDUSTRIAL ENTERPRISES OF THE DONETSK REGION</w:t>
            </w:r>
          </w:p>
        </w:tc>
      </w:tr>
    </w:tbl>
    <w:p w:rsidR="005F53EA" w:rsidRPr="005F53EA" w:rsidRDefault="005F53EA" w:rsidP="005F53EA">
      <w:pPr>
        <w:spacing w:after="0" w:line="240" w:lineRule="auto"/>
        <w:ind w:firstLine="709"/>
        <w:jc w:val="both"/>
        <w:rPr>
          <w:rFonts w:ascii="Times New Roman" w:eastAsia="Times New Roman" w:hAnsi="Times New Roman" w:cs="Times New Roman"/>
          <w:i/>
          <w:sz w:val="24"/>
          <w:szCs w:val="24"/>
          <w:lang w:val="en-US" w:eastAsia="ru-RU"/>
        </w:rPr>
      </w:pPr>
    </w:p>
    <w:p w:rsidR="005F53EA" w:rsidRPr="005F53EA" w:rsidRDefault="005F53EA" w:rsidP="005F53EA">
      <w:pPr>
        <w:spacing w:after="0" w:line="240" w:lineRule="auto"/>
        <w:ind w:firstLine="709"/>
        <w:jc w:val="both"/>
        <w:rPr>
          <w:rFonts w:ascii="Times New Roman" w:eastAsia="Times New Roman" w:hAnsi="Times New Roman" w:cs="Times New Roman"/>
          <w:i/>
          <w:sz w:val="24"/>
          <w:szCs w:val="24"/>
          <w:lang w:eastAsia="ru-RU"/>
        </w:rPr>
      </w:pPr>
      <w:r w:rsidRPr="005F53EA">
        <w:rPr>
          <w:rFonts w:ascii="Times New Roman" w:eastAsia="Times New Roman" w:hAnsi="Times New Roman" w:cs="Times New Roman"/>
          <w:i/>
          <w:sz w:val="24"/>
          <w:szCs w:val="24"/>
          <w:lang w:eastAsia="ru-RU"/>
        </w:rPr>
        <w:t>Аннотация. В статье представлены формы антикризисного государственного управления в странах с развитой рыночной экономикой. Проанализированы подходы в направлении антикризисного управления стран мира. Обобщен мировой опыт решения проблем банкротства предприятий. Доказана эффективность деятельности специально созданных государственных органов по вопросам банкротства и финансовой несостоятельности.</w:t>
      </w:r>
    </w:p>
    <w:p w:rsidR="005F53EA" w:rsidRPr="005F53EA" w:rsidRDefault="005F53EA" w:rsidP="005F53EA">
      <w:pPr>
        <w:spacing w:after="0" w:line="240" w:lineRule="auto"/>
        <w:ind w:firstLine="709"/>
        <w:jc w:val="both"/>
        <w:rPr>
          <w:rFonts w:ascii="Times New Roman" w:eastAsia="Times New Roman" w:hAnsi="Times New Roman" w:cs="Times New Roman"/>
          <w:i/>
          <w:sz w:val="24"/>
          <w:szCs w:val="24"/>
          <w:lang w:eastAsia="ru-RU"/>
        </w:rPr>
      </w:pPr>
      <w:r w:rsidRPr="005F53EA">
        <w:rPr>
          <w:rFonts w:ascii="Times New Roman" w:eastAsia="Times New Roman" w:hAnsi="Times New Roman" w:cs="Times New Roman"/>
          <w:bCs/>
          <w:i/>
          <w:sz w:val="24"/>
          <w:szCs w:val="24"/>
          <w:lang w:eastAsia="ru-RU"/>
        </w:rPr>
        <w:t xml:space="preserve">Ключевые слова: </w:t>
      </w:r>
      <w:r w:rsidRPr="005F53EA">
        <w:rPr>
          <w:rFonts w:ascii="Times New Roman" w:eastAsia="Times New Roman" w:hAnsi="Times New Roman" w:cs="Times New Roman"/>
          <w:i/>
          <w:sz w:val="24"/>
          <w:szCs w:val="24"/>
          <w:lang w:eastAsia="ru-RU"/>
        </w:rPr>
        <w:t>антикризисное управление, государственное антикризисное управление, кризис, банкротство предприятия, антикризисные меры</w:t>
      </w:r>
    </w:p>
    <w:p w:rsidR="005F53EA" w:rsidRPr="005F53EA" w:rsidRDefault="005F53EA" w:rsidP="005F53EA">
      <w:pPr>
        <w:spacing w:after="0" w:line="240" w:lineRule="auto"/>
        <w:ind w:firstLine="709"/>
        <w:jc w:val="both"/>
        <w:rPr>
          <w:rFonts w:ascii="Times New Roman" w:eastAsia="Times New Roman" w:hAnsi="Times New Roman" w:cs="Times New Roman"/>
          <w:i/>
          <w:sz w:val="24"/>
          <w:szCs w:val="24"/>
          <w:lang w:eastAsia="ru-RU"/>
        </w:rPr>
      </w:pPr>
    </w:p>
    <w:p w:rsidR="005F53EA" w:rsidRPr="005F53EA" w:rsidRDefault="005F53EA" w:rsidP="005F53EA">
      <w:pPr>
        <w:spacing w:after="0" w:line="240" w:lineRule="auto"/>
        <w:ind w:firstLine="709"/>
        <w:jc w:val="both"/>
        <w:rPr>
          <w:rFonts w:ascii="Times New Roman" w:eastAsia="Times New Roman" w:hAnsi="Times New Roman" w:cs="Times New Roman"/>
          <w:i/>
          <w:sz w:val="24"/>
          <w:szCs w:val="24"/>
          <w:lang w:val="en-US" w:eastAsia="ru-RU"/>
        </w:rPr>
      </w:pPr>
      <w:r w:rsidRPr="005F53EA">
        <w:rPr>
          <w:rFonts w:ascii="Times New Roman" w:eastAsia="Times New Roman" w:hAnsi="Times New Roman" w:cs="Times New Roman"/>
          <w:i/>
          <w:sz w:val="24"/>
          <w:szCs w:val="24"/>
          <w:lang w:val="en-US" w:eastAsia="ru-RU"/>
        </w:rPr>
        <w:t>Abstract. The article highlights the forms of anti-crisis public administration in countries with developed market economies. Approaches in the direction of crisis management of the countries of the world are analyzed. The world experience of the decision of problems of bankruptcy of the enterprises is generalized. The effectiveness of the activities of specially created state agencies on bankruptcy and financial insolvency was proved.</w:t>
      </w:r>
    </w:p>
    <w:p w:rsidR="005F53EA" w:rsidRPr="005F53EA" w:rsidRDefault="005F53EA" w:rsidP="005F53EA">
      <w:pPr>
        <w:spacing w:after="0" w:line="240" w:lineRule="auto"/>
        <w:ind w:firstLine="709"/>
        <w:jc w:val="both"/>
        <w:rPr>
          <w:rFonts w:ascii="Times New Roman" w:eastAsia="Times New Roman" w:hAnsi="Times New Roman" w:cs="Times New Roman"/>
          <w:i/>
          <w:sz w:val="24"/>
          <w:szCs w:val="24"/>
          <w:lang w:val="en-US" w:eastAsia="ru-RU"/>
        </w:rPr>
      </w:pPr>
      <w:r w:rsidRPr="005F53EA">
        <w:rPr>
          <w:rFonts w:ascii="Times New Roman" w:eastAsia="Times New Roman" w:hAnsi="Times New Roman" w:cs="Times New Roman"/>
          <w:i/>
          <w:sz w:val="24"/>
          <w:szCs w:val="24"/>
          <w:lang w:val="en-US" w:eastAsia="ru-RU"/>
        </w:rPr>
        <w:t>Keywords: crisis management, state crisis management, crisis, enterprise bankruptcy, anti-crisis measures</w:t>
      </w:r>
    </w:p>
    <w:p w:rsidR="005F53EA" w:rsidRPr="005F53EA" w:rsidRDefault="005F53EA" w:rsidP="005F53EA">
      <w:pPr>
        <w:spacing w:after="0" w:line="240" w:lineRule="auto"/>
        <w:ind w:firstLine="709"/>
        <w:jc w:val="both"/>
        <w:rPr>
          <w:rFonts w:ascii="Times New Roman" w:eastAsia="Times New Roman" w:hAnsi="Times New Roman" w:cs="Times New Roman"/>
          <w:b/>
          <w:sz w:val="28"/>
          <w:szCs w:val="28"/>
          <w:lang w:val="en-US" w:eastAsia="ru-RU"/>
        </w:rPr>
      </w:pPr>
    </w:p>
    <w:p w:rsidR="005F53EA" w:rsidRPr="005F53EA" w:rsidRDefault="005F53EA" w:rsidP="005F53EA">
      <w:pPr>
        <w:spacing w:after="0" w:line="240" w:lineRule="auto"/>
        <w:ind w:firstLine="709"/>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b/>
          <w:sz w:val="28"/>
          <w:szCs w:val="28"/>
          <w:lang w:eastAsia="ru-RU"/>
        </w:rPr>
        <w:t>Постановка проблемы.</w:t>
      </w:r>
      <w:r w:rsidRPr="005F53EA">
        <w:rPr>
          <w:rFonts w:ascii="Times New Roman" w:eastAsia="Times New Roman" w:hAnsi="Times New Roman" w:cs="Times New Roman"/>
          <w:sz w:val="28"/>
          <w:szCs w:val="28"/>
          <w:lang w:eastAsia="ru-RU"/>
        </w:rPr>
        <w:t xml:space="preserve"> Суть антикризисного управления, несомненно, отличается от понимания управления в привычном общем употреблении. Антикризисное управление является функциональной областью менеджмента, отличающегося своими целевыми установками, проблематикой, задачами, средствами, методами и управленческими инструментами. Потребности применения антикризисных мероприятий требуют интеграции в современное мировое политическое и экономическое пространство. Строительство региональной экономики требует неотложных изменений в самой сущности антикризисного управления, его перестройки и трансформаций. Донецкая Народная Республика, направляя усилия и стремясь быть государством с </w:t>
      </w:r>
      <w:r w:rsidRPr="005F53EA">
        <w:rPr>
          <w:rFonts w:ascii="Times New Roman" w:eastAsia="Times New Roman" w:hAnsi="Times New Roman" w:cs="Times New Roman"/>
          <w:sz w:val="28"/>
          <w:szCs w:val="28"/>
          <w:lang w:eastAsia="ru-RU"/>
        </w:rPr>
        <w:lastRenderedPageBreak/>
        <w:t>рыночной экономикой, сталкивается с проблемами, связанными с кризисными явлениями, которые свойственны странам, которые функционируют в рамках рыночной модели развития. Эти страны имеют многолетний значительный опыт антикризисного управления в сложных условиях, преодоления кризисных явлений и создания механизмов превентивного предупреждения и защиты их от последствий. Проблема предупреждения и борьбы с кризисными явлениями никогда не стояла так остро для нашей республики. Развитие антикризисного управления в регионе может быть осуществлено путем адаптации мирового опыта в условия хозяйствования республики, что будет способствовать сохранению текущего состояния развития предприятий, недопущению обострения кризиса, выведению предприятий из кризисного состояния, во избежание ликвидации предприятий, находящихся на грани юридического банкротства, устранению последствий кризиса (антикризисных мер) и недопущению его повторного проявления. Этим обосновывается актуальность проведения исследований по задекларированной тематике.</w:t>
      </w:r>
    </w:p>
    <w:p w:rsidR="005F53EA" w:rsidRPr="005F53EA" w:rsidRDefault="005F53EA" w:rsidP="005F53EA">
      <w:pPr>
        <w:spacing w:after="0" w:line="240" w:lineRule="auto"/>
        <w:ind w:firstLine="709"/>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b/>
          <w:sz w:val="28"/>
          <w:szCs w:val="28"/>
          <w:lang w:eastAsia="ru-RU"/>
        </w:rPr>
        <w:t>Анализ предыдущих исследований и публикаций.</w:t>
      </w:r>
      <w:r w:rsidRPr="005F53EA">
        <w:rPr>
          <w:rFonts w:ascii="Times New Roman" w:eastAsia="Times New Roman" w:hAnsi="Times New Roman" w:cs="Times New Roman"/>
          <w:sz w:val="28"/>
          <w:szCs w:val="28"/>
          <w:lang w:eastAsia="ru-RU"/>
        </w:rPr>
        <w:t xml:space="preserve"> Проблемы теории и практики антикризисного управления исследуют как отечественные ученые-экономисты, так и зарубежные. В настоящее время в мире накоплен значительный опыт реализации антикризисного менеджмента и прогнозирования кризисных явлений субъектов хозяйствования.</w:t>
      </w:r>
    </w:p>
    <w:p w:rsidR="005F53EA" w:rsidRPr="005F53EA" w:rsidRDefault="005F53EA" w:rsidP="005F53EA">
      <w:pPr>
        <w:spacing w:after="0" w:line="240" w:lineRule="auto"/>
        <w:ind w:firstLine="709"/>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t>Вопросам антикризисного управления посвящены труды как зарубежных, так отечественных ученых-экономистов, среди которых такие авторы, как: Кривов В. Д. [1], Коротков Э. М. [2], Дейнека А. В. [3], Анищенко Л. О. [4] и др.</w:t>
      </w:r>
    </w:p>
    <w:p w:rsidR="005F53EA" w:rsidRPr="005F53EA" w:rsidRDefault="005F53EA" w:rsidP="005F53EA">
      <w:pPr>
        <w:spacing w:after="0" w:line="240" w:lineRule="auto"/>
        <w:ind w:firstLine="709"/>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t xml:space="preserve">Однако, несмотря на значительное количество научных исследований, связанных с сущностью и инструментами антикризисного управления, а также повышение актуальности и практической значимости этой проблемы в последнее время, она пока остается нерешенной до конца. </w:t>
      </w:r>
    </w:p>
    <w:p w:rsidR="005F53EA" w:rsidRPr="005F53EA" w:rsidRDefault="005F53EA" w:rsidP="005F53EA">
      <w:pPr>
        <w:spacing w:after="0" w:line="240" w:lineRule="auto"/>
        <w:ind w:firstLine="709"/>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t xml:space="preserve">Основательного исследования требует комплекс вопросов, касающихся возможности использования инструментария антикризисного менеджмента, применяемого в ведущих странах мира. Это обуславливает актуальность и необходимость проведения дальнейшего исследования данной проблемы. </w:t>
      </w:r>
    </w:p>
    <w:p w:rsidR="005F53EA" w:rsidRPr="005F53EA" w:rsidRDefault="005F53EA" w:rsidP="005F53EA">
      <w:pPr>
        <w:spacing w:after="0" w:line="240" w:lineRule="auto"/>
        <w:ind w:firstLine="709"/>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iCs/>
          <w:sz w:val="28"/>
          <w:szCs w:val="28"/>
          <w:lang w:eastAsia="ru-RU"/>
        </w:rPr>
        <w:t>Объект исследования</w:t>
      </w:r>
      <w:r w:rsidRPr="005F53EA">
        <w:rPr>
          <w:rFonts w:ascii="Times New Roman" w:eastAsia="Times New Roman" w:hAnsi="Times New Roman" w:cs="Times New Roman"/>
          <w:i/>
          <w:iCs/>
          <w:sz w:val="28"/>
          <w:szCs w:val="28"/>
          <w:lang w:eastAsia="ru-RU"/>
        </w:rPr>
        <w:t xml:space="preserve"> – </w:t>
      </w:r>
      <w:r w:rsidRPr="005F53EA">
        <w:rPr>
          <w:rFonts w:ascii="Times New Roman" w:eastAsia="Times New Roman" w:hAnsi="Times New Roman" w:cs="Times New Roman"/>
          <w:sz w:val="28"/>
          <w:szCs w:val="28"/>
          <w:lang w:eastAsia="ru-RU"/>
        </w:rPr>
        <w:t>процесс формирования и развития антикризисного управления в ведущих странах мира.</w:t>
      </w:r>
    </w:p>
    <w:p w:rsidR="005F53EA" w:rsidRPr="005F53EA" w:rsidRDefault="005F53EA" w:rsidP="005F53EA">
      <w:pPr>
        <w:spacing w:after="0" w:line="240" w:lineRule="auto"/>
        <w:ind w:firstLine="709"/>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b/>
          <w:sz w:val="28"/>
          <w:szCs w:val="28"/>
          <w:lang w:eastAsia="ru-RU"/>
        </w:rPr>
        <w:t>Цель исследования.</w:t>
      </w:r>
      <w:r w:rsidRPr="005F53EA">
        <w:rPr>
          <w:rFonts w:ascii="Times New Roman" w:eastAsia="Times New Roman" w:hAnsi="Times New Roman" w:cs="Times New Roman"/>
          <w:sz w:val="28"/>
          <w:szCs w:val="28"/>
          <w:lang w:eastAsia="ru-RU"/>
        </w:rPr>
        <w:t xml:space="preserve"> Исходя из научной и практической актуальности темы опираясь на результаты изучения отдельных ее аспектов в мировой и национальной экономической литературе, целью статьи является систематизация и обобщение опыта ведущих стран мира по формированию и внедрению эффективной системы антикризисного управления.</w:t>
      </w:r>
    </w:p>
    <w:p w:rsidR="005F53EA" w:rsidRPr="005F53EA" w:rsidRDefault="005F53EA" w:rsidP="005F53EA">
      <w:pPr>
        <w:spacing w:after="0" w:line="240" w:lineRule="auto"/>
        <w:ind w:firstLine="709"/>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t>Для достижения поставленной цели намечены следующие задачи:</w:t>
      </w:r>
    </w:p>
    <w:p w:rsidR="005F53EA" w:rsidRPr="005F53EA" w:rsidRDefault="005F53EA" w:rsidP="005F53EA">
      <w:pPr>
        <w:numPr>
          <w:ilvl w:val="0"/>
          <w:numId w:val="1"/>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t>исследовать формы антикризисного государственного управления в странах с развитой рыночной экономикой;</w:t>
      </w:r>
    </w:p>
    <w:p w:rsidR="005F53EA" w:rsidRPr="005F53EA" w:rsidRDefault="005F53EA" w:rsidP="005F53EA">
      <w:pPr>
        <w:numPr>
          <w:ilvl w:val="0"/>
          <w:numId w:val="1"/>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t>рассмотреть подходы и приоритеты стран мира в процессе реализации антикризисных мероприятий;</w:t>
      </w:r>
    </w:p>
    <w:p w:rsidR="005F53EA" w:rsidRPr="005F53EA" w:rsidRDefault="005F53EA" w:rsidP="005F53EA">
      <w:pPr>
        <w:numPr>
          <w:ilvl w:val="0"/>
          <w:numId w:val="1"/>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lastRenderedPageBreak/>
        <w:t>обобщить опыт деятельности специально созданных государственных органов по вопросам банкротства.</w:t>
      </w:r>
    </w:p>
    <w:p w:rsidR="005F53EA" w:rsidRPr="005F53EA" w:rsidRDefault="005F53EA" w:rsidP="005F53EA">
      <w:pPr>
        <w:spacing w:after="0" w:line="240" w:lineRule="auto"/>
        <w:ind w:firstLine="720"/>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b/>
          <w:sz w:val="28"/>
          <w:szCs w:val="28"/>
          <w:lang w:eastAsia="ru-RU"/>
        </w:rPr>
        <w:t xml:space="preserve">Основные результаты исследования. </w:t>
      </w:r>
      <w:r w:rsidRPr="005F53EA">
        <w:rPr>
          <w:rFonts w:ascii="Times New Roman" w:eastAsia="Times New Roman" w:hAnsi="Times New Roman" w:cs="Times New Roman"/>
          <w:sz w:val="28"/>
          <w:szCs w:val="28"/>
          <w:lang w:eastAsia="ru-RU"/>
        </w:rPr>
        <w:t>Стабильное состояние и кризис выступают постоянными антагонизмами в развитии любой системы. Исходя из этого, антикризисное управление может рассматриваться как система мероприятий по диагностике, предупреждению, нейтрализации и преодоления кризисных явлений и их причин на всех уровнях экономики.</w:t>
      </w:r>
    </w:p>
    <w:p w:rsidR="005F53EA" w:rsidRPr="005F53EA" w:rsidRDefault="005F53EA" w:rsidP="005F53EA">
      <w:pPr>
        <w:spacing w:after="0" w:line="240" w:lineRule="auto"/>
        <w:ind w:firstLine="709"/>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t xml:space="preserve">Отечественные предприятия сейчас находятся на пути адаптации к европейским и мировым условиям хозяйствования. Сложные микроэкономические процессы, происходящие на предприятиях, усложняются условиями глобального финансового кризиса. Факт неподготовленности большинства современных товаропроизводителей к функционированию в новых экономических условиях не вызывает сомнения. Обсуждение этих вопросов с научно-практической точки зрения должно помочь субъектам пересмотреть процесс хозяйствования в кризисных условиях. Необходимость переосмысления и перестройки стратегии хозяйственного учета для эффективного функционирования в условиях Всемирной торговой организации стоит перед экономистами всех субъектов хозяйствования независимо от области деятельности. Наиболее болезненно этап вхождения в национальный рынок иностранных товаропроизводителей с многолетним опытом существования ощущают отечественные производители. В таких условиях необходимы соответствующие шаги по изучению положительного международного опыта и оперативного внедрения его в практику отечественного промышленного производства. Каждый субъект, осуществляющий определенную хозяйственную деятельность, сегодня выглядит как автономная микроэкономическая хозяйственная единица со специфическими, только ей присущими экономическими характеристиками и юридическими формами. Одной из таких форм является модель организации финансово-хозяйственной деятельности, которая формируется на предприятии и утверждается собственником или уполномоченным лицом. Специфика экономических отношений в нашей стране, нестабильность внешней среды, растущая инфляция обусловливают необходимость особых управленческих действий для эффективного управления предприятием. В таких условиях обеспечение управленческих функций зависит от уровня информационного обеспечения, предоставляемого учетной системой. Эффективное управление внутрихозяйственными процессами современного предприятия зависит от своевременных, целенаправленных и, главное, обоснованных решений, требующих использования разнообразной хозяйственной информации. Регулярное получение такой информации, ее достоверность и доходчивость во многом зависит от сложившейся учетной политики на микроэкономическом уровне. Требования нормативных актов в области экономики и бухгалтерского учета требуют от предприятия из года в год соблюдения неизменных правил, позволяет сопоставлять финансовую информацию за разные периоды и анализировать имущественное и финансовое положение предприятий. Для </w:t>
      </w:r>
      <w:r w:rsidRPr="005F53EA">
        <w:rPr>
          <w:rFonts w:ascii="Times New Roman" w:eastAsia="Times New Roman" w:hAnsi="Times New Roman" w:cs="Times New Roman"/>
          <w:sz w:val="28"/>
          <w:szCs w:val="28"/>
          <w:lang w:eastAsia="ru-RU"/>
        </w:rPr>
        <w:lastRenderedPageBreak/>
        <w:t>формирования современной учетной политики необходимо анализировать различные микроэкономические показатели. Развитие информационных технологий позволяет создавать управленческие информационные системы, способствующие повышению эффективности управленческих решений. Использование информации управленческого учета ориентирует руководство на перспективу согласно стратегии развития.</w:t>
      </w:r>
    </w:p>
    <w:p w:rsidR="005F53EA" w:rsidRPr="005F53EA" w:rsidRDefault="005F53EA" w:rsidP="005F53EA">
      <w:pPr>
        <w:spacing w:after="0" w:line="240" w:lineRule="auto"/>
        <w:ind w:firstLine="709"/>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t>Антикризисное государственное управление в странах с развитой рыночной экономикой выражается в различных формах.</w:t>
      </w:r>
    </w:p>
    <w:p w:rsidR="005F53EA" w:rsidRPr="005F53EA" w:rsidRDefault="005F53EA" w:rsidP="005F53EA">
      <w:pPr>
        <w:spacing w:after="0" w:line="240" w:lineRule="auto"/>
        <w:ind w:firstLine="709"/>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t>Соединенные Штаты Америки реализуют политику антикризисного управления через совершенствование законодательства в области занятости, увеличение рабочих мест, особенно для молодежи, разработку региональных структурных программ. В параграфе 310 гл. 58 Свода законов США указано, что эффективные меры правительства должны содержать специально разработанные программы по снижению высокого уровня безработицы, по уменьшению безработицы среди отдельных групп работников; усиление роли экспорта и улучшения международной конкурентоспособности сельскохозяйственных и промышленных товаров, а также автомобилестроения [1]. В США законодательно закреплена (пункт 311 того же Свода) антициклическая политика в вопросах занятости. В процессе реализации этой программы запланировано ускорение финансирования государством строительных работ, увеличение занятости в госсекторе, увеличение размеров и продолжительности страховых выплат по безработице, профессиональное обучение в частном и государственном секторах, обеспечения молодежи рабочими местами и программ развития, направленных на создание рабочих мест в отраслях, имеющих приоритетное значение для страны.</w:t>
      </w:r>
    </w:p>
    <w:p w:rsidR="005F53EA" w:rsidRPr="005F53EA" w:rsidRDefault="005F53EA" w:rsidP="005F53EA">
      <w:pPr>
        <w:spacing w:after="0" w:line="240" w:lineRule="auto"/>
        <w:ind w:firstLine="709"/>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t>Еще одним, не менее важным, направлением совершенствования антикризисного государственного управления в США является координация усилий различных государственных ведомств по разработке и проведению экономической политики. Для реализации этого направления с 1984 функционирует Президентский совет по совершенствованию управления, приоритетным направлениями деятельности, которой являются:</w:t>
      </w:r>
    </w:p>
    <w:p w:rsidR="005F53EA" w:rsidRPr="005F53EA" w:rsidRDefault="005F53EA" w:rsidP="005F53EA">
      <w:pPr>
        <w:spacing w:after="0" w:line="240" w:lineRule="auto"/>
        <w:ind w:firstLine="720"/>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t>– совершенствование управления финансовыми ресурсами;</w:t>
      </w:r>
    </w:p>
    <w:p w:rsidR="005F53EA" w:rsidRPr="005F53EA" w:rsidRDefault="005F53EA" w:rsidP="005F53EA">
      <w:pPr>
        <w:spacing w:after="0" w:line="240" w:lineRule="auto"/>
        <w:ind w:firstLine="720"/>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t>– оптимизация управленческих инструментов и процедур;</w:t>
      </w:r>
    </w:p>
    <w:p w:rsidR="005F53EA" w:rsidRPr="005F53EA" w:rsidRDefault="005F53EA" w:rsidP="005F53EA">
      <w:pPr>
        <w:spacing w:after="0" w:line="240" w:lineRule="auto"/>
        <w:ind w:firstLine="720"/>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t>– координация деятельности генеральных инспекторов;</w:t>
      </w:r>
    </w:p>
    <w:p w:rsidR="005F53EA" w:rsidRPr="005F53EA" w:rsidRDefault="005F53EA" w:rsidP="005F53EA">
      <w:pPr>
        <w:tabs>
          <w:tab w:val="left" w:pos="142"/>
        </w:tabs>
        <w:spacing w:after="0" w:line="240" w:lineRule="auto"/>
        <w:ind w:firstLine="720"/>
        <w:jc w:val="both"/>
        <w:rPr>
          <w:rFonts w:ascii="Times New Roman" w:eastAsia="Times New Roman" w:hAnsi="Times New Roman" w:cs="Times New Roman"/>
          <w:sz w:val="28"/>
          <w:szCs w:val="24"/>
          <w:lang w:eastAsia="ru-RU"/>
        </w:rPr>
      </w:pPr>
      <w:r w:rsidRPr="005F53EA">
        <w:rPr>
          <w:rFonts w:ascii="Times New Roman" w:eastAsia="Times New Roman" w:hAnsi="Times New Roman" w:cs="Times New Roman"/>
          <w:sz w:val="28"/>
          <w:szCs w:val="28"/>
          <w:lang w:eastAsia="ru-RU"/>
        </w:rPr>
        <w:t xml:space="preserve">– координация усилий различных ведомств по сокращению числа преступлений </w:t>
      </w:r>
      <w:r w:rsidRPr="005F53EA">
        <w:rPr>
          <w:rFonts w:ascii="Times New Roman" w:eastAsia="Times New Roman" w:hAnsi="Times New Roman" w:cs="Times New Roman"/>
          <w:sz w:val="28"/>
          <w:szCs w:val="24"/>
          <w:lang w:eastAsia="ru-RU"/>
        </w:rPr>
        <w:t xml:space="preserve">и тому подобное. </w:t>
      </w:r>
    </w:p>
    <w:p w:rsidR="005F53EA" w:rsidRPr="005F53EA" w:rsidRDefault="005F53EA" w:rsidP="005F53EA">
      <w:pPr>
        <w:spacing w:after="0" w:line="240" w:lineRule="auto"/>
        <w:ind w:firstLine="709"/>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t xml:space="preserve">В России функции специального органа по вопросам банкротства выполняет Федеральная служба России по финансовому оздоровлению и банкротству. Эта служба является представителем власти, осуществляющим исполнительные, контрольные, разрешительные, регулирующие и организационные функции, предусмотренные законодательством страны о финансовом оздоровлении и неплатежеспособности организаций. Его деятельность нацелена на предупреждение экономической несостоятельности предприятий всех форм собственности и подчинения, лицензирование </w:t>
      </w:r>
      <w:r w:rsidRPr="005F53EA">
        <w:rPr>
          <w:rFonts w:ascii="Times New Roman" w:eastAsia="Times New Roman" w:hAnsi="Times New Roman" w:cs="Times New Roman"/>
          <w:sz w:val="28"/>
          <w:szCs w:val="28"/>
          <w:lang w:eastAsia="ru-RU"/>
        </w:rPr>
        <w:lastRenderedPageBreak/>
        <w:t>деятельности антикризисных управляющих, подготовку и проведение аттестации управляющих по делам об экономической несостоятельности [5].</w:t>
      </w:r>
    </w:p>
    <w:p w:rsidR="005F53EA" w:rsidRPr="005F53EA" w:rsidRDefault="005F53EA" w:rsidP="005F53EA">
      <w:pPr>
        <w:tabs>
          <w:tab w:val="left" w:pos="142"/>
        </w:tabs>
        <w:spacing w:after="0" w:line="240" w:lineRule="auto"/>
        <w:ind w:firstLine="709"/>
        <w:jc w:val="both"/>
        <w:rPr>
          <w:rFonts w:ascii="Times New Roman" w:eastAsia="Times New Roman" w:hAnsi="Times New Roman" w:cs="Times New Roman"/>
          <w:sz w:val="28"/>
          <w:szCs w:val="24"/>
          <w:lang w:eastAsia="ru-RU"/>
        </w:rPr>
      </w:pPr>
      <w:r w:rsidRPr="005F53EA">
        <w:rPr>
          <w:rFonts w:ascii="Times New Roman" w:eastAsia="Times New Roman" w:hAnsi="Times New Roman" w:cs="Times New Roman"/>
          <w:sz w:val="28"/>
          <w:szCs w:val="24"/>
          <w:lang w:eastAsia="ru-RU"/>
        </w:rPr>
        <w:t>Положительным опытом для Донецкого региона было бы использование механизма антикризисного государственного управления в периоды экстремального развития. Этот механизм допускает усиление государственного контроля над отраслями и предприятиями в период кризиса к централизованному администрированию в сферах производства и распределения продукции [2].</w:t>
      </w:r>
    </w:p>
    <w:p w:rsidR="005F53EA" w:rsidRPr="005F53EA" w:rsidRDefault="005F53EA" w:rsidP="005F53EA">
      <w:pPr>
        <w:spacing w:after="0" w:line="240" w:lineRule="auto"/>
        <w:ind w:left="7" w:firstLine="702"/>
        <w:jc w:val="both"/>
        <w:rPr>
          <w:rFonts w:ascii="Times New Roman" w:eastAsia="Times New Roman" w:hAnsi="Times New Roman" w:cs="Times New Roman"/>
          <w:sz w:val="18"/>
          <w:szCs w:val="18"/>
          <w:lang w:eastAsia="ru-RU"/>
        </w:rPr>
      </w:pPr>
      <w:r w:rsidRPr="005F53EA">
        <w:rPr>
          <w:rFonts w:ascii="Times New Roman" w:eastAsia="Times New Roman" w:hAnsi="Times New Roman" w:cs="Times New Roman"/>
          <w:sz w:val="28"/>
          <w:szCs w:val="28"/>
          <w:lang w:eastAsia="ru-RU"/>
        </w:rPr>
        <w:t>Исследуя опыт Европейского союза в направлении антикризисного управления, следует отметить, что в нем превалирует селективный подход, направленный на стимулирование деятельности конкретных компаний. Считается, что только частный бизнес может эффективно решать вопросы подъема депрессивных регионов и предприятий посредством создания малых и средних предприятий передовых отраслей [6]. Однако каждая страна Европейского союза имеет и свои особенности.</w:t>
      </w:r>
    </w:p>
    <w:p w:rsidR="005F53EA" w:rsidRPr="005F53EA" w:rsidRDefault="005F53EA" w:rsidP="005F53EA">
      <w:pPr>
        <w:spacing w:after="0" w:line="240" w:lineRule="auto"/>
        <w:ind w:firstLine="709"/>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t>Так, главной особенностью экономики промышленно развитой Франции является то, что государственный сектор доминирует в базовых отраслях, хотя степень государственного участия в них может варьироваться. Государственные компании действуют преимущественно в автомобилестроении, авиакосмической отрасли, химической и нефтегазовой промышленности, черной металлургии [3].</w:t>
      </w:r>
    </w:p>
    <w:p w:rsidR="005F53EA" w:rsidRPr="005F53EA" w:rsidRDefault="005F53EA" w:rsidP="005F53EA">
      <w:pPr>
        <w:spacing w:after="0" w:line="240" w:lineRule="auto"/>
        <w:ind w:firstLine="709"/>
        <w:jc w:val="both"/>
        <w:rPr>
          <w:rFonts w:ascii="Times New Roman" w:eastAsia="Times New Roman" w:hAnsi="Times New Roman" w:cs="Times New Roman"/>
          <w:spacing w:val="-6"/>
          <w:sz w:val="28"/>
          <w:szCs w:val="28"/>
          <w:lang w:eastAsia="ru-RU"/>
        </w:rPr>
      </w:pPr>
      <w:r w:rsidRPr="005F53EA">
        <w:rPr>
          <w:rFonts w:ascii="Times New Roman" w:eastAsia="Times New Roman" w:hAnsi="Times New Roman" w:cs="Times New Roman"/>
          <w:spacing w:val="-6"/>
          <w:sz w:val="28"/>
          <w:szCs w:val="28"/>
          <w:lang w:eastAsia="ru-RU"/>
        </w:rPr>
        <w:t>До недавнего времени в экономической политике стран Латинской Америки также преобладало традиционное государственное вмешательство в экономику. Однако сейчас уже превалируют либеральные рыночные системы с косвенным участием государства (в основном финансовые и фискальные) в экономическом регулировании. Этому способствовало существенное сокращение доли государственного сектора и рост степени открытости экономики.</w:t>
      </w:r>
    </w:p>
    <w:p w:rsidR="005F53EA" w:rsidRPr="005F53EA" w:rsidRDefault="005F53EA" w:rsidP="005F53EA">
      <w:pPr>
        <w:widowControl w:val="0"/>
        <w:spacing w:after="0" w:line="240" w:lineRule="auto"/>
        <w:ind w:firstLine="709"/>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t xml:space="preserve">В государственной экономической политике стран Центральной и Восточной Европы взят курс на разгосударствление и приватизацию государственной собственности, формирования свободных товаропроизводителей, являющихся владельцами не только произведенной продукции, но и средств производства. Тенденция развития – разнообразие форм собственности. </w:t>
      </w:r>
    </w:p>
    <w:p w:rsidR="005F53EA" w:rsidRPr="005F53EA" w:rsidRDefault="005F53EA" w:rsidP="005F53EA">
      <w:pPr>
        <w:spacing w:after="0" w:line="240" w:lineRule="auto"/>
        <w:ind w:firstLine="709"/>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t>Исследование тенденций приватизации государств Центральной и Восточной Европы позволили определить общую тенденцию – определение четкой границы приватизации, которая выделила ту часть собственности, которая остается в руках государства. Это касается железной дороги, почты, телеграфа и других предприятий, имеющих общественное значение. В странах Центральной и Восточной Европы имеет место процесс «реприватизации». Кроме того, имеет место процесс передачи собственности работникам предприятий.</w:t>
      </w:r>
    </w:p>
    <w:p w:rsidR="005F53EA" w:rsidRPr="005F53EA" w:rsidRDefault="005F53EA" w:rsidP="005F53EA">
      <w:pPr>
        <w:spacing w:after="0" w:line="240" w:lineRule="auto"/>
        <w:ind w:firstLine="709"/>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t>Сравнительный анализ систем регулирования банкротства в странах с развитой экономикой можно провести по следующим направлениям:</w:t>
      </w:r>
    </w:p>
    <w:p w:rsidR="005F53EA" w:rsidRPr="005F53EA" w:rsidRDefault="005F53EA" w:rsidP="005F53EA">
      <w:pPr>
        <w:spacing w:after="0" w:line="240" w:lineRule="auto"/>
        <w:ind w:firstLine="709"/>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lastRenderedPageBreak/>
        <w:t>- направленность концепции регулирования банкротства; ее основное содержание; основные правовые инструменты регулирования банкротства (табл. 1);</w:t>
      </w:r>
    </w:p>
    <w:p w:rsidR="005F53EA" w:rsidRPr="005F53EA" w:rsidRDefault="005F53EA" w:rsidP="005F53EA">
      <w:pPr>
        <w:spacing w:after="0" w:line="240" w:lineRule="auto"/>
        <w:ind w:firstLine="709"/>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t>- возможность оздоровления субъектов хозяйствования, предусмотренная законодательной базой и формирование плана оздоровления;</w:t>
      </w:r>
    </w:p>
    <w:p w:rsidR="005F53EA" w:rsidRPr="005F53EA" w:rsidRDefault="005F53EA" w:rsidP="005F53EA">
      <w:pPr>
        <w:spacing w:after="0" w:line="240" w:lineRule="auto"/>
        <w:ind w:firstLine="709"/>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t xml:space="preserve">- органы, регулирующие банкротство, их компетенции и функции [4]. </w:t>
      </w:r>
    </w:p>
    <w:p w:rsidR="005F53EA" w:rsidRPr="005F53EA" w:rsidRDefault="005F53EA" w:rsidP="005F53EA">
      <w:pPr>
        <w:spacing w:after="0" w:line="240" w:lineRule="auto"/>
        <w:jc w:val="right"/>
        <w:rPr>
          <w:rFonts w:ascii="Times New Roman" w:eastAsia="Times New Roman" w:hAnsi="Times New Roman" w:cs="Times New Roman"/>
          <w:sz w:val="28"/>
          <w:szCs w:val="28"/>
          <w:lang w:eastAsia="ru-RU"/>
        </w:rPr>
      </w:pPr>
    </w:p>
    <w:p w:rsidR="005F53EA" w:rsidRPr="005F53EA" w:rsidRDefault="005F53EA" w:rsidP="005F53EA">
      <w:pPr>
        <w:spacing w:after="0" w:line="240" w:lineRule="auto"/>
        <w:jc w:val="right"/>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t xml:space="preserve">Таблица 1 </w:t>
      </w:r>
    </w:p>
    <w:p w:rsidR="005F53EA" w:rsidRPr="005F53EA" w:rsidRDefault="005F53EA" w:rsidP="005F53EA">
      <w:pPr>
        <w:spacing w:after="0" w:line="240" w:lineRule="auto"/>
        <w:jc w:val="center"/>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t>Сравнительный анализ зарубежных систем регулирования банкротства</w:t>
      </w:r>
    </w:p>
    <w:tbl>
      <w:tblPr>
        <w:tblStyle w:val="a3"/>
        <w:tblW w:w="9639" w:type="dxa"/>
        <w:tblLook w:val="04A0" w:firstRow="1" w:lastRow="0" w:firstColumn="1" w:lastColumn="0" w:noHBand="0" w:noVBand="1"/>
      </w:tblPr>
      <w:tblGrid>
        <w:gridCol w:w="2844"/>
        <w:gridCol w:w="3581"/>
        <w:gridCol w:w="3214"/>
      </w:tblGrid>
      <w:tr w:rsidR="005F53EA" w:rsidRPr="005F53EA" w:rsidTr="002D53BD">
        <w:tc>
          <w:tcPr>
            <w:tcW w:w="2844" w:type="dxa"/>
          </w:tcPr>
          <w:p w:rsidR="005F53EA" w:rsidRPr="005F53EA" w:rsidRDefault="005F53EA" w:rsidP="005F53EA">
            <w:pPr>
              <w:jc w:val="center"/>
              <w:rPr>
                <w:rFonts w:ascii="Times New Roman" w:hAnsi="Times New Roman"/>
                <w:sz w:val="24"/>
                <w:szCs w:val="24"/>
              </w:rPr>
            </w:pPr>
            <w:r w:rsidRPr="005F53EA">
              <w:rPr>
                <w:rFonts w:ascii="Times New Roman" w:hAnsi="Times New Roman"/>
                <w:sz w:val="24"/>
                <w:szCs w:val="24"/>
              </w:rPr>
              <w:t>Страна / направленность концепции</w:t>
            </w:r>
          </w:p>
        </w:tc>
        <w:tc>
          <w:tcPr>
            <w:tcW w:w="3581" w:type="dxa"/>
          </w:tcPr>
          <w:p w:rsidR="005F53EA" w:rsidRPr="005F53EA" w:rsidRDefault="005F53EA" w:rsidP="005F53EA">
            <w:pPr>
              <w:jc w:val="center"/>
              <w:rPr>
                <w:rFonts w:ascii="Times New Roman" w:hAnsi="Times New Roman"/>
                <w:sz w:val="24"/>
                <w:szCs w:val="24"/>
              </w:rPr>
            </w:pPr>
            <w:r w:rsidRPr="005F53EA">
              <w:rPr>
                <w:rFonts w:ascii="Times New Roman" w:hAnsi="Times New Roman"/>
                <w:sz w:val="24"/>
                <w:szCs w:val="24"/>
              </w:rPr>
              <w:t>Основное содержание концепции</w:t>
            </w:r>
          </w:p>
        </w:tc>
        <w:tc>
          <w:tcPr>
            <w:tcW w:w="3214" w:type="dxa"/>
          </w:tcPr>
          <w:p w:rsidR="005F53EA" w:rsidRPr="005F53EA" w:rsidRDefault="005F53EA" w:rsidP="005F53EA">
            <w:pPr>
              <w:jc w:val="center"/>
              <w:rPr>
                <w:rFonts w:ascii="Times New Roman" w:hAnsi="Times New Roman"/>
                <w:sz w:val="24"/>
                <w:szCs w:val="24"/>
              </w:rPr>
            </w:pPr>
            <w:r w:rsidRPr="005F53EA">
              <w:rPr>
                <w:rFonts w:ascii="Times New Roman" w:hAnsi="Times New Roman"/>
                <w:sz w:val="24"/>
                <w:szCs w:val="24"/>
              </w:rPr>
              <w:t>Правовые инструменты регулирования банкротства</w:t>
            </w:r>
          </w:p>
        </w:tc>
      </w:tr>
      <w:tr w:rsidR="005F53EA" w:rsidRPr="005F53EA" w:rsidTr="002D53BD">
        <w:tc>
          <w:tcPr>
            <w:tcW w:w="2844" w:type="dxa"/>
          </w:tcPr>
          <w:p w:rsidR="005F53EA" w:rsidRPr="005F53EA" w:rsidRDefault="005F53EA" w:rsidP="005F53EA">
            <w:pPr>
              <w:jc w:val="both"/>
              <w:rPr>
                <w:rFonts w:ascii="Times New Roman" w:hAnsi="Times New Roman"/>
                <w:sz w:val="24"/>
                <w:szCs w:val="24"/>
              </w:rPr>
            </w:pPr>
            <w:r w:rsidRPr="005F53EA">
              <w:rPr>
                <w:rFonts w:ascii="Times New Roman" w:hAnsi="Times New Roman"/>
                <w:sz w:val="24"/>
                <w:szCs w:val="24"/>
              </w:rPr>
              <w:t xml:space="preserve">Франция / продебиторская </w:t>
            </w:r>
          </w:p>
        </w:tc>
        <w:tc>
          <w:tcPr>
            <w:tcW w:w="3581" w:type="dxa"/>
          </w:tcPr>
          <w:p w:rsidR="005F53EA" w:rsidRPr="005F53EA" w:rsidRDefault="005F53EA" w:rsidP="005F53EA">
            <w:pPr>
              <w:jc w:val="both"/>
              <w:rPr>
                <w:rFonts w:ascii="Times New Roman" w:hAnsi="Times New Roman"/>
                <w:sz w:val="24"/>
                <w:szCs w:val="24"/>
              </w:rPr>
            </w:pPr>
            <w:r w:rsidRPr="005F53EA">
              <w:rPr>
                <w:rFonts w:ascii="Times New Roman" w:hAnsi="Times New Roman"/>
                <w:sz w:val="24"/>
                <w:szCs w:val="24"/>
              </w:rPr>
              <w:t>Сохранить действующее предприятие, рабочие места; удовлетворить требования кредиторов</w:t>
            </w:r>
          </w:p>
        </w:tc>
        <w:tc>
          <w:tcPr>
            <w:tcW w:w="3214" w:type="dxa"/>
          </w:tcPr>
          <w:p w:rsidR="005F53EA" w:rsidRPr="005F53EA" w:rsidRDefault="005F53EA" w:rsidP="005F53EA">
            <w:pPr>
              <w:jc w:val="both"/>
              <w:rPr>
                <w:rFonts w:ascii="Times New Roman" w:hAnsi="Times New Roman"/>
                <w:sz w:val="24"/>
                <w:szCs w:val="24"/>
              </w:rPr>
            </w:pPr>
            <w:r w:rsidRPr="005F53EA">
              <w:rPr>
                <w:rFonts w:ascii="Times New Roman" w:hAnsi="Times New Roman"/>
                <w:sz w:val="24"/>
                <w:szCs w:val="24"/>
              </w:rPr>
              <w:t>Наблюдение при первых признаках банкротства;</w:t>
            </w:r>
          </w:p>
          <w:p w:rsidR="005F53EA" w:rsidRPr="005F53EA" w:rsidRDefault="005F53EA" w:rsidP="005F53EA">
            <w:pPr>
              <w:jc w:val="both"/>
              <w:rPr>
                <w:rFonts w:ascii="Times New Roman" w:hAnsi="Times New Roman"/>
                <w:sz w:val="24"/>
                <w:szCs w:val="24"/>
              </w:rPr>
            </w:pPr>
            <w:r w:rsidRPr="005F53EA">
              <w:rPr>
                <w:rFonts w:ascii="Times New Roman" w:hAnsi="Times New Roman"/>
                <w:sz w:val="24"/>
                <w:szCs w:val="24"/>
              </w:rPr>
              <w:t>ликвидация</w:t>
            </w:r>
          </w:p>
        </w:tc>
      </w:tr>
      <w:tr w:rsidR="005F53EA" w:rsidRPr="005F53EA" w:rsidTr="002D53BD">
        <w:tc>
          <w:tcPr>
            <w:tcW w:w="2844" w:type="dxa"/>
          </w:tcPr>
          <w:p w:rsidR="005F53EA" w:rsidRPr="005F53EA" w:rsidRDefault="005F53EA" w:rsidP="005F53EA">
            <w:pPr>
              <w:jc w:val="both"/>
              <w:rPr>
                <w:rFonts w:ascii="Times New Roman" w:hAnsi="Times New Roman"/>
                <w:sz w:val="24"/>
                <w:szCs w:val="24"/>
              </w:rPr>
            </w:pPr>
            <w:r w:rsidRPr="005F53EA">
              <w:rPr>
                <w:rFonts w:ascii="Times New Roman" w:hAnsi="Times New Roman"/>
                <w:sz w:val="24"/>
                <w:szCs w:val="24"/>
              </w:rPr>
              <w:t>Великобритания / прокредиторская</w:t>
            </w:r>
          </w:p>
        </w:tc>
        <w:tc>
          <w:tcPr>
            <w:tcW w:w="3581" w:type="dxa"/>
          </w:tcPr>
          <w:p w:rsidR="005F53EA" w:rsidRPr="005F53EA" w:rsidRDefault="005F53EA" w:rsidP="005F53EA">
            <w:pPr>
              <w:jc w:val="both"/>
              <w:rPr>
                <w:rFonts w:ascii="Times New Roman" w:hAnsi="Times New Roman"/>
                <w:sz w:val="24"/>
                <w:szCs w:val="24"/>
              </w:rPr>
            </w:pPr>
            <w:r w:rsidRPr="005F53EA">
              <w:rPr>
                <w:rFonts w:ascii="Times New Roman" w:hAnsi="Times New Roman"/>
                <w:sz w:val="24"/>
                <w:szCs w:val="24"/>
              </w:rPr>
              <w:t>Минимизация потерь для платежеспособной стороны</w:t>
            </w:r>
          </w:p>
        </w:tc>
        <w:tc>
          <w:tcPr>
            <w:tcW w:w="3214" w:type="dxa"/>
          </w:tcPr>
          <w:p w:rsidR="005F53EA" w:rsidRPr="005F53EA" w:rsidRDefault="005F53EA" w:rsidP="005F53EA">
            <w:pPr>
              <w:jc w:val="both"/>
              <w:rPr>
                <w:rFonts w:ascii="Times New Roman" w:hAnsi="Times New Roman"/>
                <w:sz w:val="24"/>
                <w:szCs w:val="24"/>
              </w:rPr>
            </w:pPr>
            <w:r w:rsidRPr="005F53EA">
              <w:rPr>
                <w:rFonts w:ascii="Times New Roman" w:hAnsi="Times New Roman"/>
                <w:sz w:val="24"/>
                <w:szCs w:val="24"/>
              </w:rPr>
              <w:t>Мировое соглашение; ликвидация</w:t>
            </w:r>
          </w:p>
        </w:tc>
      </w:tr>
      <w:tr w:rsidR="005F53EA" w:rsidRPr="005F53EA" w:rsidTr="002D53BD">
        <w:tc>
          <w:tcPr>
            <w:tcW w:w="2844" w:type="dxa"/>
          </w:tcPr>
          <w:p w:rsidR="005F53EA" w:rsidRPr="005F53EA" w:rsidRDefault="005F53EA" w:rsidP="005F53EA">
            <w:pPr>
              <w:jc w:val="both"/>
              <w:rPr>
                <w:rFonts w:ascii="Times New Roman" w:hAnsi="Times New Roman"/>
                <w:sz w:val="24"/>
                <w:szCs w:val="24"/>
              </w:rPr>
            </w:pPr>
            <w:r w:rsidRPr="005F53EA">
              <w:rPr>
                <w:rFonts w:ascii="Times New Roman" w:hAnsi="Times New Roman"/>
                <w:sz w:val="24"/>
                <w:szCs w:val="24"/>
              </w:rPr>
              <w:t>Германия / прокредиторская</w:t>
            </w:r>
          </w:p>
        </w:tc>
        <w:tc>
          <w:tcPr>
            <w:tcW w:w="3581" w:type="dxa"/>
          </w:tcPr>
          <w:p w:rsidR="005F53EA" w:rsidRPr="005F53EA" w:rsidRDefault="005F53EA" w:rsidP="005F53EA">
            <w:pPr>
              <w:jc w:val="both"/>
              <w:rPr>
                <w:rFonts w:ascii="Times New Roman" w:hAnsi="Times New Roman"/>
                <w:sz w:val="24"/>
                <w:szCs w:val="24"/>
              </w:rPr>
            </w:pPr>
            <w:r w:rsidRPr="005F53EA">
              <w:rPr>
                <w:rFonts w:ascii="Times New Roman" w:hAnsi="Times New Roman"/>
                <w:sz w:val="24"/>
                <w:szCs w:val="24"/>
              </w:rPr>
              <w:t>Максимальное удовлетворение требований кредиторов</w:t>
            </w:r>
          </w:p>
        </w:tc>
        <w:tc>
          <w:tcPr>
            <w:tcW w:w="3214" w:type="dxa"/>
          </w:tcPr>
          <w:p w:rsidR="005F53EA" w:rsidRPr="005F53EA" w:rsidRDefault="005F53EA" w:rsidP="005F53EA">
            <w:pPr>
              <w:jc w:val="both"/>
              <w:rPr>
                <w:rFonts w:ascii="Times New Roman" w:hAnsi="Times New Roman"/>
                <w:sz w:val="24"/>
                <w:szCs w:val="24"/>
              </w:rPr>
            </w:pPr>
            <w:r w:rsidRPr="005F53EA">
              <w:rPr>
                <w:rFonts w:ascii="Times New Roman" w:hAnsi="Times New Roman"/>
                <w:sz w:val="24"/>
                <w:szCs w:val="24"/>
              </w:rPr>
              <w:t>Конкурсное производство; ликвидация</w:t>
            </w:r>
          </w:p>
        </w:tc>
      </w:tr>
      <w:tr w:rsidR="005F53EA" w:rsidRPr="005F53EA" w:rsidTr="002D53BD">
        <w:tc>
          <w:tcPr>
            <w:tcW w:w="2844" w:type="dxa"/>
          </w:tcPr>
          <w:p w:rsidR="005F53EA" w:rsidRPr="005F53EA" w:rsidRDefault="005F53EA" w:rsidP="005F53EA">
            <w:pPr>
              <w:jc w:val="both"/>
              <w:rPr>
                <w:rFonts w:ascii="Times New Roman" w:hAnsi="Times New Roman"/>
                <w:sz w:val="24"/>
                <w:szCs w:val="24"/>
              </w:rPr>
            </w:pPr>
            <w:r w:rsidRPr="005F53EA">
              <w:rPr>
                <w:rFonts w:ascii="Times New Roman" w:hAnsi="Times New Roman"/>
                <w:sz w:val="24"/>
                <w:szCs w:val="24"/>
              </w:rPr>
              <w:t>США / продебиторская</w:t>
            </w:r>
          </w:p>
        </w:tc>
        <w:tc>
          <w:tcPr>
            <w:tcW w:w="3581" w:type="dxa"/>
          </w:tcPr>
          <w:p w:rsidR="005F53EA" w:rsidRPr="005F53EA" w:rsidRDefault="005F53EA" w:rsidP="005F53EA">
            <w:pPr>
              <w:jc w:val="both"/>
              <w:rPr>
                <w:rFonts w:ascii="Times New Roman" w:hAnsi="Times New Roman"/>
                <w:sz w:val="24"/>
                <w:szCs w:val="24"/>
              </w:rPr>
            </w:pPr>
            <w:r w:rsidRPr="005F53EA">
              <w:rPr>
                <w:rFonts w:ascii="Times New Roman" w:hAnsi="Times New Roman"/>
                <w:sz w:val="24"/>
                <w:szCs w:val="24"/>
              </w:rPr>
              <w:t>Реорганизация предпочтительнее ликвидации</w:t>
            </w:r>
          </w:p>
        </w:tc>
        <w:tc>
          <w:tcPr>
            <w:tcW w:w="3214" w:type="dxa"/>
          </w:tcPr>
          <w:p w:rsidR="005F53EA" w:rsidRPr="005F53EA" w:rsidRDefault="005F53EA" w:rsidP="005F53EA">
            <w:pPr>
              <w:jc w:val="both"/>
              <w:rPr>
                <w:rFonts w:ascii="Times New Roman" w:hAnsi="Times New Roman"/>
                <w:sz w:val="24"/>
                <w:szCs w:val="24"/>
              </w:rPr>
            </w:pPr>
            <w:r w:rsidRPr="005F53EA">
              <w:rPr>
                <w:rFonts w:ascii="Times New Roman" w:hAnsi="Times New Roman"/>
                <w:sz w:val="24"/>
                <w:szCs w:val="24"/>
              </w:rPr>
              <w:t>Реорганизация; ликвидация</w:t>
            </w:r>
          </w:p>
        </w:tc>
      </w:tr>
      <w:tr w:rsidR="005F53EA" w:rsidRPr="005F53EA" w:rsidTr="002D53BD">
        <w:tc>
          <w:tcPr>
            <w:tcW w:w="2844" w:type="dxa"/>
          </w:tcPr>
          <w:p w:rsidR="005F53EA" w:rsidRPr="005F53EA" w:rsidRDefault="005F53EA" w:rsidP="005F53EA">
            <w:pPr>
              <w:jc w:val="both"/>
              <w:rPr>
                <w:rFonts w:ascii="Times New Roman" w:hAnsi="Times New Roman"/>
                <w:sz w:val="24"/>
                <w:szCs w:val="24"/>
              </w:rPr>
            </w:pPr>
            <w:r w:rsidRPr="005F53EA">
              <w:rPr>
                <w:rFonts w:ascii="Times New Roman" w:hAnsi="Times New Roman"/>
                <w:sz w:val="24"/>
                <w:szCs w:val="24"/>
              </w:rPr>
              <w:t>Италия / продебиторская</w:t>
            </w:r>
          </w:p>
        </w:tc>
        <w:tc>
          <w:tcPr>
            <w:tcW w:w="3581" w:type="dxa"/>
          </w:tcPr>
          <w:p w:rsidR="005F53EA" w:rsidRPr="005F53EA" w:rsidRDefault="005F53EA" w:rsidP="005F53EA">
            <w:pPr>
              <w:jc w:val="both"/>
              <w:rPr>
                <w:rFonts w:ascii="Times New Roman" w:hAnsi="Times New Roman"/>
                <w:sz w:val="24"/>
                <w:szCs w:val="24"/>
              </w:rPr>
            </w:pPr>
            <w:r w:rsidRPr="005F53EA">
              <w:rPr>
                <w:rFonts w:ascii="Times New Roman" w:hAnsi="Times New Roman"/>
                <w:sz w:val="24"/>
                <w:szCs w:val="24"/>
              </w:rPr>
              <w:t>Оздоровление предприятий с целью повышения уровня занятости</w:t>
            </w:r>
          </w:p>
        </w:tc>
        <w:tc>
          <w:tcPr>
            <w:tcW w:w="3214" w:type="dxa"/>
          </w:tcPr>
          <w:p w:rsidR="005F53EA" w:rsidRPr="005F53EA" w:rsidRDefault="005F53EA" w:rsidP="005F53EA">
            <w:pPr>
              <w:jc w:val="both"/>
              <w:rPr>
                <w:rFonts w:ascii="Times New Roman" w:hAnsi="Times New Roman"/>
                <w:sz w:val="24"/>
                <w:szCs w:val="24"/>
              </w:rPr>
            </w:pPr>
            <w:r w:rsidRPr="005F53EA">
              <w:rPr>
                <w:rFonts w:ascii="Times New Roman" w:hAnsi="Times New Roman"/>
                <w:sz w:val="24"/>
                <w:szCs w:val="24"/>
              </w:rPr>
              <w:t>Контролируемое управление; принудительная ликвидация</w:t>
            </w:r>
          </w:p>
        </w:tc>
      </w:tr>
      <w:tr w:rsidR="005F53EA" w:rsidRPr="005F53EA" w:rsidTr="002D53BD">
        <w:tc>
          <w:tcPr>
            <w:tcW w:w="2844" w:type="dxa"/>
          </w:tcPr>
          <w:p w:rsidR="005F53EA" w:rsidRPr="005F53EA" w:rsidRDefault="005F53EA" w:rsidP="005F53EA">
            <w:pPr>
              <w:jc w:val="both"/>
              <w:rPr>
                <w:rFonts w:ascii="Times New Roman" w:hAnsi="Times New Roman"/>
                <w:sz w:val="24"/>
                <w:szCs w:val="24"/>
              </w:rPr>
            </w:pPr>
            <w:r w:rsidRPr="005F53EA">
              <w:rPr>
                <w:rFonts w:ascii="Times New Roman" w:hAnsi="Times New Roman"/>
                <w:sz w:val="24"/>
                <w:szCs w:val="24"/>
              </w:rPr>
              <w:t>Чехия / прокредиторская</w:t>
            </w:r>
          </w:p>
        </w:tc>
        <w:tc>
          <w:tcPr>
            <w:tcW w:w="3581" w:type="dxa"/>
          </w:tcPr>
          <w:p w:rsidR="005F53EA" w:rsidRPr="005F53EA" w:rsidRDefault="005F53EA" w:rsidP="005F53EA">
            <w:pPr>
              <w:jc w:val="both"/>
              <w:rPr>
                <w:rFonts w:ascii="Times New Roman" w:hAnsi="Times New Roman"/>
                <w:sz w:val="24"/>
                <w:szCs w:val="24"/>
              </w:rPr>
            </w:pPr>
            <w:r w:rsidRPr="005F53EA">
              <w:rPr>
                <w:rFonts w:ascii="Times New Roman" w:hAnsi="Times New Roman"/>
                <w:sz w:val="24"/>
                <w:szCs w:val="24"/>
              </w:rPr>
              <w:t xml:space="preserve">Удовлетворение требований кредиторов </w:t>
            </w:r>
          </w:p>
        </w:tc>
        <w:tc>
          <w:tcPr>
            <w:tcW w:w="3214" w:type="dxa"/>
          </w:tcPr>
          <w:p w:rsidR="005F53EA" w:rsidRPr="005F53EA" w:rsidRDefault="005F53EA" w:rsidP="005F53EA">
            <w:pPr>
              <w:jc w:val="both"/>
              <w:rPr>
                <w:rFonts w:ascii="Times New Roman" w:hAnsi="Times New Roman"/>
                <w:sz w:val="24"/>
                <w:szCs w:val="24"/>
              </w:rPr>
            </w:pPr>
            <w:r w:rsidRPr="005F53EA">
              <w:rPr>
                <w:rFonts w:ascii="Times New Roman" w:hAnsi="Times New Roman"/>
                <w:sz w:val="24"/>
                <w:szCs w:val="24"/>
              </w:rPr>
              <w:t>Конкурсное производство; ликвидация</w:t>
            </w:r>
          </w:p>
        </w:tc>
      </w:tr>
      <w:tr w:rsidR="005F53EA" w:rsidRPr="005F53EA" w:rsidTr="002D53BD">
        <w:tc>
          <w:tcPr>
            <w:tcW w:w="2844" w:type="dxa"/>
          </w:tcPr>
          <w:p w:rsidR="005F53EA" w:rsidRPr="005F53EA" w:rsidRDefault="005F53EA" w:rsidP="005F53EA">
            <w:pPr>
              <w:jc w:val="both"/>
              <w:rPr>
                <w:rFonts w:ascii="Times New Roman" w:hAnsi="Times New Roman"/>
                <w:sz w:val="24"/>
                <w:szCs w:val="24"/>
              </w:rPr>
            </w:pPr>
            <w:r w:rsidRPr="005F53EA">
              <w:rPr>
                <w:rFonts w:ascii="Times New Roman" w:hAnsi="Times New Roman"/>
                <w:sz w:val="24"/>
                <w:szCs w:val="24"/>
              </w:rPr>
              <w:t>Россия / продебиторская</w:t>
            </w:r>
          </w:p>
        </w:tc>
        <w:tc>
          <w:tcPr>
            <w:tcW w:w="3581" w:type="dxa"/>
          </w:tcPr>
          <w:p w:rsidR="005F53EA" w:rsidRPr="005F53EA" w:rsidRDefault="005F53EA" w:rsidP="005F53EA">
            <w:pPr>
              <w:jc w:val="both"/>
              <w:rPr>
                <w:rFonts w:ascii="Times New Roman" w:hAnsi="Times New Roman"/>
                <w:sz w:val="24"/>
                <w:szCs w:val="24"/>
              </w:rPr>
            </w:pPr>
            <w:r w:rsidRPr="005F53EA">
              <w:rPr>
                <w:rFonts w:ascii="Times New Roman" w:hAnsi="Times New Roman"/>
                <w:sz w:val="24"/>
                <w:szCs w:val="24"/>
              </w:rPr>
              <w:t>Оздоровление предприятий с целью оздоровления экономики</w:t>
            </w:r>
          </w:p>
        </w:tc>
        <w:tc>
          <w:tcPr>
            <w:tcW w:w="3214" w:type="dxa"/>
          </w:tcPr>
          <w:p w:rsidR="005F53EA" w:rsidRPr="005F53EA" w:rsidRDefault="005F53EA" w:rsidP="005F53EA">
            <w:pPr>
              <w:jc w:val="both"/>
              <w:rPr>
                <w:rFonts w:ascii="Times New Roman" w:hAnsi="Times New Roman"/>
                <w:sz w:val="24"/>
                <w:szCs w:val="24"/>
              </w:rPr>
            </w:pPr>
            <w:r w:rsidRPr="005F53EA">
              <w:rPr>
                <w:rFonts w:ascii="Times New Roman" w:hAnsi="Times New Roman"/>
                <w:sz w:val="24"/>
                <w:szCs w:val="24"/>
              </w:rPr>
              <w:t>Наблюдение и санация,  ликвидация</w:t>
            </w:r>
          </w:p>
        </w:tc>
      </w:tr>
    </w:tbl>
    <w:p w:rsidR="005F53EA" w:rsidRPr="005F53EA" w:rsidRDefault="005F53EA" w:rsidP="005F53EA">
      <w:pPr>
        <w:spacing w:after="0" w:line="240" w:lineRule="auto"/>
        <w:ind w:firstLine="709"/>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t>Результаты проведенного исследования позволили выявить следующие отличия. Во-первых, это время созыва собрания кредиторов, то есть официальное определение момента их участия в процессе. Если в законодательстве США и Великобритании его назначение возможно после официального признания должника несостоятельным, то в Германии и Франции – после принятия ходатайства о возбуждении дела о несостоятельности. Это еще раз подтверждает демократичность антикризисной политики Германии и Франции [7].</w:t>
      </w:r>
    </w:p>
    <w:p w:rsidR="005F53EA" w:rsidRPr="005F53EA" w:rsidRDefault="005F53EA" w:rsidP="005F53EA">
      <w:pPr>
        <w:widowControl w:val="0"/>
        <w:spacing w:after="0" w:line="240" w:lineRule="auto"/>
        <w:ind w:firstLine="709"/>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t xml:space="preserve">Обобщая и сравнивая особенности, функционирование институтов банкротства в различных странах европейские эксперты условно разделили на радикально прокредиторские, умеренно прокредиторские, нейтральные, умеренно продебиторские и радикально продебиторские. Рассматривая эти группы, можно отметить, что в первых двух градациях доминируют интересы кредиторов, в двух последних – должника. Институты таких стран, как Россия и Великобритания относятся к радикально прокредиторской группе, а институты США, Франции, Японии – радикально продебиторской. </w:t>
      </w:r>
    </w:p>
    <w:p w:rsidR="005F53EA" w:rsidRPr="005F53EA" w:rsidRDefault="005F53EA" w:rsidP="005F53EA">
      <w:pPr>
        <w:spacing w:after="0" w:line="240" w:lineRule="auto"/>
        <w:ind w:firstLine="709"/>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sz w:val="28"/>
          <w:szCs w:val="28"/>
          <w:lang w:eastAsia="ru-RU"/>
        </w:rPr>
        <w:t xml:space="preserve">Несмотря на особенности антикризисной политики, важным критерием несостоятельности является возможность реабилитации должника. При этом в </w:t>
      </w:r>
      <w:r w:rsidRPr="005F53EA">
        <w:rPr>
          <w:rFonts w:ascii="Times New Roman" w:eastAsia="Times New Roman" w:hAnsi="Times New Roman" w:cs="Times New Roman"/>
          <w:sz w:val="28"/>
          <w:szCs w:val="28"/>
          <w:lang w:eastAsia="ru-RU"/>
        </w:rPr>
        <w:lastRenderedPageBreak/>
        <w:t>разных странах существуют разные подходы к этому понятию. Так, во Франции и США речь идет о реабилитации предприятия-должника, а в Германии и Японии о реабилитации его бизнеса. Реабилитация предприятия-должника достигается путем нахождения компромиссов, проведения реорганизационных мероприятий. Реабилитация бизнеса подразумевает сохранение вида деятельности, деловых связей, рабочих мест, персонала.</w:t>
      </w:r>
    </w:p>
    <w:p w:rsidR="005F53EA" w:rsidRPr="005F53EA" w:rsidRDefault="005F53EA" w:rsidP="005F53EA">
      <w:pPr>
        <w:spacing w:after="0" w:line="240" w:lineRule="auto"/>
        <w:ind w:firstLine="709"/>
        <w:jc w:val="both"/>
        <w:rPr>
          <w:rFonts w:ascii="Times New Roman" w:eastAsia="Times New Roman" w:hAnsi="Times New Roman" w:cs="Times New Roman"/>
          <w:sz w:val="28"/>
          <w:szCs w:val="28"/>
          <w:lang w:eastAsia="ru-RU"/>
        </w:rPr>
      </w:pPr>
      <w:r w:rsidRPr="005F53EA">
        <w:rPr>
          <w:rFonts w:ascii="Times New Roman" w:eastAsia="Times New Roman" w:hAnsi="Times New Roman" w:cs="Times New Roman"/>
          <w:b/>
          <w:sz w:val="28"/>
          <w:szCs w:val="28"/>
          <w:lang w:eastAsia="ru-RU"/>
        </w:rPr>
        <w:t>Выводы.</w:t>
      </w:r>
      <w:r w:rsidRPr="005F53EA">
        <w:rPr>
          <w:rFonts w:ascii="Times New Roman" w:eastAsia="Times New Roman" w:hAnsi="Times New Roman" w:cs="Times New Roman"/>
          <w:sz w:val="28"/>
          <w:szCs w:val="28"/>
          <w:lang w:eastAsia="ru-RU"/>
        </w:rPr>
        <w:t xml:space="preserve"> Таким образом, исследовав мировой опыт решения проблемы банкротства предприятий, можно выделить два подхода к этой проблеме. Первый – это реабилитация предприятия, второй – реабилитация бизнеса. Следует отметить, что, несмотря на все, второй подход доминирует. И мировая практика далее чаще дает возможность должнику реабилитироваться.</w:t>
      </w:r>
    </w:p>
    <w:tbl>
      <w:tblPr>
        <w:tblStyle w:val="a3"/>
        <w:tblW w:w="488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808"/>
      </w:tblGrid>
      <w:tr w:rsidR="005F53EA" w:rsidRPr="005F53EA" w:rsidTr="002D53BD">
        <w:trPr>
          <w:jc w:val="center"/>
        </w:trPr>
        <w:tc>
          <w:tcPr>
            <w:tcW w:w="5000" w:type="pct"/>
            <w:gridSpan w:val="2"/>
          </w:tcPr>
          <w:p w:rsidR="005F53EA" w:rsidRPr="005F53EA" w:rsidRDefault="005F53EA" w:rsidP="005F53EA">
            <w:pPr>
              <w:contextualSpacing/>
              <w:jc w:val="both"/>
              <w:rPr>
                <w:rFonts w:ascii="Times New Roman" w:eastAsia="Calibri" w:hAnsi="Times New Roman"/>
                <w:sz w:val="24"/>
                <w:szCs w:val="24"/>
              </w:rPr>
            </w:pPr>
          </w:p>
        </w:tc>
      </w:tr>
      <w:tr w:rsidR="005F53EA" w:rsidRPr="005F53EA" w:rsidTr="002D53BD">
        <w:trPr>
          <w:jc w:val="center"/>
        </w:trPr>
        <w:tc>
          <w:tcPr>
            <w:tcW w:w="5000" w:type="pct"/>
            <w:gridSpan w:val="2"/>
          </w:tcPr>
          <w:p w:rsidR="005F53EA" w:rsidRPr="005F53EA" w:rsidRDefault="005F53EA" w:rsidP="005F53EA">
            <w:pPr>
              <w:ind w:firstLine="709"/>
              <w:jc w:val="center"/>
              <w:rPr>
                <w:rFonts w:ascii="Times New Roman" w:hAnsi="Times New Roman"/>
                <w:b/>
                <w:sz w:val="28"/>
                <w:szCs w:val="28"/>
              </w:rPr>
            </w:pPr>
            <w:r w:rsidRPr="005F53EA">
              <w:rPr>
                <w:rFonts w:ascii="Times New Roman" w:hAnsi="Times New Roman"/>
                <w:b/>
                <w:sz w:val="28"/>
                <w:szCs w:val="28"/>
              </w:rPr>
              <w:t>Список литературы</w:t>
            </w:r>
          </w:p>
        </w:tc>
      </w:tr>
      <w:tr w:rsidR="005F53EA" w:rsidRPr="005F53EA" w:rsidTr="002D53BD">
        <w:trPr>
          <w:jc w:val="center"/>
        </w:trPr>
        <w:tc>
          <w:tcPr>
            <w:tcW w:w="184" w:type="pct"/>
          </w:tcPr>
          <w:p w:rsidR="005F53EA" w:rsidRPr="005F53EA" w:rsidRDefault="005F53EA" w:rsidP="005F53EA">
            <w:pPr>
              <w:widowControl w:val="0"/>
              <w:numPr>
                <w:ilvl w:val="0"/>
                <w:numId w:val="2"/>
              </w:numPr>
              <w:contextualSpacing/>
              <w:jc w:val="both"/>
              <w:rPr>
                <w:rFonts w:ascii="Times New Roman" w:eastAsia="Calibri" w:hAnsi="Times New Roman"/>
                <w:sz w:val="24"/>
                <w:szCs w:val="24"/>
              </w:rPr>
            </w:pPr>
          </w:p>
        </w:tc>
        <w:tc>
          <w:tcPr>
            <w:tcW w:w="4816" w:type="pct"/>
          </w:tcPr>
          <w:p w:rsidR="005F53EA" w:rsidRPr="005F53EA" w:rsidRDefault="005F53EA" w:rsidP="005F53EA">
            <w:pPr>
              <w:rPr>
                <w:rFonts w:ascii="Times New Roman" w:hAnsi="Times New Roman"/>
                <w:sz w:val="24"/>
                <w:szCs w:val="24"/>
              </w:rPr>
            </w:pPr>
            <w:r w:rsidRPr="005F53EA">
              <w:rPr>
                <w:rFonts w:ascii="Times New Roman" w:hAnsi="Times New Roman"/>
                <w:sz w:val="24"/>
                <w:szCs w:val="24"/>
              </w:rPr>
              <w:t>Кривов В. Д. Законодательное регулирование макроэкономических процессов в США [Электронный ресурс] /Д. Кривов // Аналитический вестник Совета Федерации ФС РФ. — 2002. — № 3(159). — С. 18. — Режим доступа: \www/URL: http://www.budgetrf.ru/Publications/Magazines/ VestnikSF/2002/vestniksf159-03/vestniksf159-03030.htm</w:t>
            </w:r>
          </w:p>
        </w:tc>
      </w:tr>
      <w:tr w:rsidR="005F53EA" w:rsidRPr="005F53EA" w:rsidTr="002D53BD">
        <w:trPr>
          <w:jc w:val="center"/>
        </w:trPr>
        <w:tc>
          <w:tcPr>
            <w:tcW w:w="184" w:type="pct"/>
          </w:tcPr>
          <w:p w:rsidR="005F53EA" w:rsidRPr="005F53EA" w:rsidRDefault="005F53EA" w:rsidP="005F53EA">
            <w:pPr>
              <w:widowControl w:val="0"/>
              <w:numPr>
                <w:ilvl w:val="0"/>
                <w:numId w:val="2"/>
              </w:numPr>
              <w:contextualSpacing/>
              <w:jc w:val="both"/>
              <w:rPr>
                <w:rFonts w:ascii="Times New Roman" w:eastAsia="Calibri" w:hAnsi="Times New Roman"/>
                <w:sz w:val="24"/>
                <w:szCs w:val="24"/>
              </w:rPr>
            </w:pPr>
          </w:p>
        </w:tc>
        <w:tc>
          <w:tcPr>
            <w:tcW w:w="4816" w:type="pct"/>
          </w:tcPr>
          <w:p w:rsidR="005F53EA" w:rsidRPr="005F53EA" w:rsidRDefault="005F53EA" w:rsidP="005F53EA">
            <w:pPr>
              <w:rPr>
                <w:rFonts w:ascii="Times New Roman" w:hAnsi="Times New Roman"/>
                <w:b/>
                <w:bCs/>
                <w:sz w:val="24"/>
                <w:szCs w:val="24"/>
              </w:rPr>
            </w:pPr>
            <w:r w:rsidRPr="005F53EA">
              <w:rPr>
                <w:rFonts w:ascii="Times New Roman" w:hAnsi="Times New Roman"/>
                <w:sz w:val="24"/>
                <w:szCs w:val="24"/>
              </w:rPr>
              <w:t>Коротков Э. М. Антикризисное управление: учеб. /под ред. Э. М. Короткова. — М.: ИНФРА-М, 2001. — 432 с.</w:t>
            </w:r>
          </w:p>
        </w:tc>
      </w:tr>
      <w:tr w:rsidR="005F53EA" w:rsidRPr="005F53EA" w:rsidTr="002D53BD">
        <w:trPr>
          <w:jc w:val="center"/>
        </w:trPr>
        <w:tc>
          <w:tcPr>
            <w:tcW w:w="184" w:type="pct"/>
          </w:tcPr>
          <w:p w:rsidR="005F53EA" w:rsidRPr="005F53EA" w:rsidRDefault="005F53EA" w:rsidP="005F53EA">
            <w:pPr>
              <w:widowControl w:val="0"/>
              <w:numPr>
                <w:ilvl w:val="0"/>
                <w:numId w:val="2"/>
              </w:numPr>
              <w:contextualSpacing/>
              <w:jc w:val="both"/>
              <w:rPr>
                <w:rFonts w:ascii="Times New Roman" w:eastAsia="Calibri" w:hAnsi="Times New Roman"/>
                <w:sz w:val="24"/>
                <w:szCs w:val="24"/>
              </w:rPr>
            </w:pPr>
          </w:p>
        </w:tc>
        <w:tc>
          <w:tcPr>
            <w:tcW w:w="4816" w:type="pct"/>
          </w:tcPr>
          <w:p w:rsidR="005F53EA" w:rsidRPr="005F53EA" w:rsidRDefault="005F53EA" w:rsidP="005F53EA">
            <w:pPr>
              <w:rPr>
                <w:rFonts w:ascii="Times New Roman" w:hAnsi="Times New Roman"/>
                <w:sz w:val="24"/>
                <w:szCs w:val="24"/>
              </w:rPr>
            </w:pPr>
            <w:r w:rsidRPr="005F53EA">
              <w:rPr>
                <w:rFonts w:ascii="Times New Roman" w:hAnsi="Times New Roman"/>
                <w:sz w:val="24"/>
                <w:szCs w:val="24"/>
              </w:rPr>
              <w:t xml:space="preserve">Дейнека О. В. Взаємозв’язок масштабів та ефективності функціонування державного сектору економіки /В. Дейнека // Актуальні проблеми економіки. — 2009. — № 9(99). — С. 58–64. </w:t>
            </w:r>
          </w:p>
        </w:tc>
      </w:tr>
      <w:tr w:rsidR="005F53EA" w:rsidRPr="005F53EA" w:rsidTr="002D53BD">
        <w:trPr>
          <w:jc w:val="center"/>
        </w:trPr>
        <w:tc>
          <w:tcPr>
            <w:tcW w:w="184" w:type="pct"/>
          </w:tcPr>
          <w:p w:rsidR="005F53EA" w:rsidRPr="005F53EA" w:rsidRDefault="005F53EA" w:rsidP="005F53EA">
            <w:pPr>
              <w:widowControl w:val="0"/>
              <w:numPr>
                <w:ilvl w:val="0"/>
                <w:numId w:val="2"/>
              </w:numPr>
              <w:contextualSpacing/>
              <w:jc w:val="both"/>
              <w:rPr>
                <w:rFonts w:ascii="Times New Roman" w:eastAsia="Calibri" w:hAnsi="Times New Roman"/>
                <w:sz w:val="24"/>
                <w:szCs w:val="24"/>
              </w:rPr>
            </w:pPr>
          </w:p>
        </w:tc>
        <w:tc>
          <w:tcPr>
            <w:tcW w:w="4816" w:type="pct"/>
          </w:tcPr>
          <w:p w:rsidR="005F53EA" w:rsidRPr="005F53EA" w:rsidRDefault="005F53EA" w:rsidP="005F53EA">
            <w:pPr>
              <w:jc w:val="both"/>
              <w:rPr>
                <w:rFonts w:ascii="Times New Roman" w:hAnsi="Times New Roman"/>
                <w:b/>
                <w:bCs/>
                <w:sz w:val="24"/>
                <w:szCs w:val="24"/>
              </w:rPr>
            </w:pPr>
            <w:r w:rsidRPr="005F53EA">
              <w:rPr>
                <w:rFonts w:ascii="Times New Roman" w:hAnsi="Times New Roman"/>
                <w:sz w:val="24"/>
                <w:szCs w:val="24"/>
              </w:rPr>
              <w:t>Аніщенко Л. О. Зарубіжний досвід антикризового управління / Л. О. Аніщенко // Економічний простірю. — 2012. — № 68. — С. 143–156.</w:t>
            </w:r>
          </w:p>
        </w:tc>
      </w:tr>
      <w:tr w:rsidR="005F53EA" w:rsidRPr="005F53EA" w:rsidTr="002D53BD">
        <w:trPr>
          <w:jc w:val="center"/>
        </w:trPr>
        <w:tc>
          <w:tcPr>
            <w:tcW w:w="184" w:type="pct"/>
          </w:tcPr>
          <w:p w:rsidR="005F53EA" w:rsidRPr="005F53EA" w:rsidRDefault="005F53EA" w:rsidP="005F53EA">
            <w:pPr>
              <w:widowControl w:val="0"/>
              <w:numPr>
                <w:ilvl w:val="0"/>
                <w:numId w:val="2"/>
              </w:numPr>
              <w:contextualSpacing/>
              <w:jc w:val="both"/>
              <w:rPr>
                <w:rFonts w:ascii="Times New Roman" w:eastAsia="Calibri" w:hAnsi="Times New Roman"/>
                <w:sz w:val="24"/>
                <w:szCs w:val="24"/>
              </w:rPr>
            </w:pPr>
          </w:p>
        </w:tc>
        <w:tc>
          <w:tcPr>
            <w:tcW w:w="4816" w:type="pct"/>
          </w:tcPr>
          <w:p w:rsidR="005F53EA" w:rsidRPr="005F53EA" w:rsidRDefault="005F53EA" w:rsidP="005F53EA">
            <w:pPr>
              <w:jc w:val="both"/>
              <w:rPr>
                <w:rFonts w:ascii="Times New Roman" w:hAnsi="Times New Roman"/>
                <w:b/>
                <w:bCs/>
                <w:sz w:val="24"/>
                <w:szCs w:val="24"/>
              </w:rPr>
            </w:pPr>
            <w:r w:rsidRPr="005F53EA">
              <w:rPr>
                <w:rFonts w:ascii="Times New Roman" w:hAnsi="Times New Roman"/>
                <w:sz w:val="24"/>
                <w:szCs w:val="24"/>
              </w:rPr>
              <w:t>Бірюков, О. М. Транскордонні банкрутства: проблеми і шляхи розв’язання [Текст]: монографія / О. М. Бірюков. — К.: Вид-во видавничо-поліграфічний центр Київський університет, 2008. — 318 с.</w:t>
            </w:r>
          </w:p>
        </w:tc>
      </w:tr>
      <w:tr w:rsidR="005F53EA" w:rsidRPr="005F53EA" w:rsidTr="002D53BD">
        <w:trPr>
          <w:jc w:val="center"/>
        </w:trPr>
        <w:tc>
          <w:tcPr>
            <w:tcW w:w="184" w:type="pct"/>
          </w:tcPr>
          <w:p w:rsidR="005F53EA" w:rsidRPr="005F53EA" w:rsidRDefault="005F53EA" w:rsidP="005F53EA">
            <w:pPr>
              <w:widowControl w:val="0"/>
              <w:numPr>
                <w:ilvl w:val="0"/>
                <w:numId w:val="2"/>
              </w:numPr>
              <w:contextualSpacing/>
              <w:jc w:val="both"/>
              <w:rPr>
                <w:rFonts w:ascii="Times New Roman" w:eastAsia="Calibri" w:hAnsi="Times New Roman"/>
                <w:sz w:val="24"/>
                <w:szCs w:val="24"/>
              </w:rPr>
            </w:pPr>
          </w:p>
        </w:tc>
        <w:tc>
          <w:tcPr>
            <w:tcW w:w="4816" w:type="pct"/>
          </w:tcPr>
          <w:p w:rsidR="005F53EA" w:rsidRPr="005F53EA" w:rsidRDefault="005F53EA" w:rsidP="005F53EA">
            <w:pPr>
              <w:jc w:val="both"/>
              <w:rPr>
                <w:rFonts w:ascii="Times New Roman" w:hAnsi="Times New Roman"/>
                <w:sz w:val="24"/>
                <w:szCs w:val="24"/>
                <w:lang w:val="en-US"/>
              </w:rPr>
            </w:pPr>
            <w:r w:rsidRPr="005F53EA">
              <w:rPr>
                <w:rFonts w:ascii="Times New Roman" w:hAnsi="Times New Roman"/>
                <w:sz w:val="24"/>
                <w:szCs w:val="24"/>
                <w:lang w:val="en-US"/>
              </w:rPr>
              <w:t>European Financial Stability and Integration [Electronic re-source]: Report 2011. — April 2012. — Available at: \www/ URL: http://ec.europa.eu/internal_market/economic_analysis/ docs/financial_integration_reports/20120426-efsir_en.pdf</w:t>
            </w:r>
          </w:p>
        </w:tc>
      </w:tr>
      <w:tr w:rsidR="005F53EA" w:rsidRPr="005F53EA" w:rsidTr="002D53BD">
        <w:trPr>
          <w:jc w:val="center"/>
        </w:trPr>
        <w:tc>
          <w:tcPr>
            <w:tcW w:w="184" w:type="pct"/>
          </w:tcPr>
          <w:p w:rsidR="005F53EA" w:rsidRPr="005F53EA" w:rsidRDefault="005F53EA" w:rsidP="005F53EA">
            <w:pPr>
              <w:widowControl w:val="0"/>
              <w:numPr>
                <w:ilvl w:val="0"/>
                <w:numId w:val="2"/>
              </w:numPr>
              <w:contextualSpacing/>
              <w:jc w:val="both"/>
              <w:rPr>
                <w:rFonts w:ascii="Times New Roman" w:eastAsia="Calibri" w:hAnsi="Times New Roman"/>
                <w:sz w:val="24"/>
                <w:szCs w:val="24"/>
                <w:lang w:val="en-US"/>
              </w:rPr>
            </w:pPr>
          </w:p>
        </w:tc>
        <w:tc>
          <w:tcPr>
            <w:tcW w:w="4816" w:type="pct"/>
          </w:tcPr>
          <w:p w:rsidR="005F53EA" w:rsidRPr="005F53EA" w:rsidRDefault="005F53EA" w:rsidP="005F53EA">
            <w:pPr>
              <w:jc w:val="both"/>
              <w:rPr>
                <w:rFonts w:ascii="Times New Roman" w:hAnsi="Times New Roman"/>
                <w:sz w:val="24"/>
                <w:szCs w:val="24"/>
              </w:rPr>
            </w:pPr>
            <w:r w:rsidRPr="005F53EA">
              <w:rPr>
                <w:rFonts w:ascii="Times New Roman" w:hAnsi="Times New Roman"/>
                <w:sz w:val="24"/>
                <w:szCs w:val="24"/>
              </w:rPr>
              <w:t xml:space="preserve">Прогнозирование банкротства: основные методики и проблемы/ [Електронний ресурс] Эйтингон В.Н. / Режим доступа к  статье: </w:t>
            </w:r>
            <w:hyperlink r:id="rId5" w:history="1">
              <w:r w:rsidRPr="005F53EA">
                <w:rPr>
                  <w:rFonts w:ascii="Times New Roman" w:hAnsi="Times New Roman"/>
                  <w:color w:val="0000FF"/>
                  <w:sz w:val="24"/>
                  <w:szCs w:val="24"/>
                  <w:u w:val="single"/>
                </w:rPr>
                <w:t>http://www.iteam.ru/publications/ strategy/section_16/article_141/</w:t>
              </w:r>
            </w:hyperlink>
          </w:p>
        </w:tc>
      </w:tr>
    </w:tbl>
    <w:p w:rsidR="00410842" w:rsidRDefault="00410842">
      <w:bookmarkStart w:id="2" w:name="_GoBack"/>
      <w:bookmarkEnd w:id="2"/>
    </w:p>
    <w:sectPr w:rsidR="00410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B1338"/>
    <w:multiLevelType w:val="hybridMultilevel"/>
    <w:tmpl w:val="086ED714"/>
    <w:lvl w:ilvl="0" w:tplc="72C8E39E">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9155D6"/>
    <w:multiLevelType w:val="hybridMultilevel"/>
    <w:tmpl w:val="DE120D18"/>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EA"/>
    <w:rsid w:val="00410842"/>
    <w:rsid w:val="005F5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15680-2B23-445D-912D-10D7884F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3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eam.ru/publications/%20strategy/section_16/article_1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2720</Words>
  <Characters>15504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2018-09-22T07:23:00Z</dcterms:created>
  <dcterms:modified xsi:type="dcterms:W3CDTF">2018-09-22T07:24:00Z</dcterms:modified>
</cp:coreProperties>
</file>