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491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7"/>
        <w:gridCol w:w="5060"/>
      </w:tblGrid>
      <w:tr w:rsidR="000C0181" w:rsidRPr="000C0181" w:rsidTr="002D53BD">
        <w:trPr>
          <w:jc w:val="center"/>
        </w:trPr>
        <w:tc>
          <w:tcPr>
            <w:tcW w:w="4172" w:type="dxa"/>
          </w:tcPr>
          <w:p w:rsidR="000C0181" w:rsidRPr="000C0181" w:rsidRDefault="000C0181" w:rsidP="000C0181">
            <w:pPr>
              <w:widowControl w:val="0"/>
              <w:rPr>
                <w:rFonts w:ascii="Times New Roman" w:hAnsi="Times New Roman"/>
                <w:b/>
                <w:sz w:val="28"/>
                <w:szCs w:val="28"/>
              </w:rPr>
            </w:pPr>
            <w:r w:rsidRPr="000C0181">
              <w:rPr>
                <w:rFonts w:ascii="Times New Roman" w:hAnsi="Times New Roman"/>
                <w:b/>
                <w:sz w:val="28"/>
                <w:szCs w:val="28"/>
              </w:rPr>
              <w:t>УДК 338.2:366.42</w:t>
            </w:r>
          </w:p>
        </w:tc>
        <w:tc>
          <w:tcPr>
            <w:tcW w:w="5121" w:type="dxa"/>
            <w:tcMar>
              <w:left w:w="0" w:type="dxa"/>
              <w:right w:w="0" w:type="dxa"/>
            </w:tcMar>
          </w:tcPr>
          <w:p w:rsidR="000C0181" w:rsidRPr="000C0181" w:rsidRDefault="000C0181" w:rsidP="000C0181">
            <w:pPr>
              <w:widowControl w:val="0"/>
              <w:shd w:val="clear" w:color="auto" w:fill="FFFFFF"/>
              <w:rPr>
                <w:rFonts w:ascii="Times New Roman" w:hAnsi="Times New Roman"/>
                <w:sz w:val="28"/>
                <w:szCs w:val="28"/>
              </w:rPr>
            </w:pPr>
          </w:p>
        </w:tc>
      </w:tr>
      <w:tr w:rsidR="000C0181" w:rsidRPr="000C0181" w:rsidTr="002D53BD">
        <w:trPr>
          <w:jc w:val="center"/>
        </w:trPr>
        <w:tc>
          <w:tcPr>
            <w:tcW w:w="4172" w:type="dxa"/>
          </w:tcPr>
          <w:p w:rsidR="000C0181" w:rsidRPr="000C0181" w:rsidRDefault="000C0181" w:rsidP="000C0181">
            <w:pPr>
              <w:widowControl w:val="0"/>
              <w:jc w:val="right"/>
              <w:rPr>
                <w:rFonts w:ascii="Times New Roman" w:hAnsi="Times New Roman"/>
                <w:sz w:val="28"/>
                <w:szCs w:val="28"/>
              </w:rPr>
            </w:pPr>
          </w:p>
        </w:tc>
        <w:tc>
          <w:tcPr>
            <w:tcW w:w="5121" w:type="dxa"/>
            <w:tcMar>
              <w:left w:w="0" w:type="dxa"/>
              <w:right w:w="0" w:type="dxa"/>
            </w:tcMar>
          </w:tcPr>
          <w:p w:rsidR="000C0181" w:rsidRPr="000C0181" w:rsidRDefault="000C0181" w:rsidP="000C0181">
            <w:pPr>
              <w:jc w:val="both"/>
              <w:rPr>
                <w:rFonts w:ascii="Times New Roman" w:hAnsi="Times New Roman"/>
                <w:sz w:val="28"/>
                <w:szCs w:val="24"/>
              </w:rPr>
            </w:pPr>
            <w:bookmarkStart w:id="0" w:name="_Toc518846493"/>
            <w:r w:rsidRPr="000C0181">
              <w:rPr>
                <w:rFonts w:ascii="Times New Roman" w:hAnsi="Times New Roman"/>
                <w:b/>
                <w:bCs/>
                <w:sz w:val="28"/>
                <w:szCs w:val="28"/>
              </w:rPr>
              <w:t>Э.И. Полякова</w:t>
            </w:r>
            <w:bookmarkEnd w:id="0"/>
            <w:r w:rsidRPr="000C0181">
              <w:rPr>
                <w:rFonts w:ascii="Times New Roman" w:hAnsi="Times New Roman"/>
                <w:sz w:val="28"/>
                <w:szCs w:val="24"/>
              </w:rPr>
              <w:t xml:space="preserve">, </w:t>
            </w:r>
            <w:r w:rsidRPr="000C0181">
              <w:rPr>
                <w:rFonts w:ascii="Times New Roman" w:hAnsi="Times New Roman"/>
                <w:i/>
                <w:sz w:val="28"/>
                <w:szCs w:val="24"/>
                <w:shd w:val="clear" w:color="auto" w:fill="FFFFFF"/>
              </w:rPr>
              <w:t>к.э.н., доц.</w:t>
            </w:r>
          </w:p>
          <w:p w:rsidR="000C0181" w:rsidRPr="000C0181" w:rsidRDefault="000C0181" w:rsidP="000C0181">
            <w:pPr>
              <w:numPr>
                <w:ilvl w:val="1"/>
                <w:numId w:val="0"/>
              </w:numPr>
              <w:tabs>
                <w:tab w:val="left" w:pos="709"/>
              </w:tabs>
              <w:suppressAutoHyphens/>
              <w:ind w:firstLine="709"/>
              <w:outlineLvl w:val="1"/>
              <w:rPr>
                <w:rFonts w:ascii="Times New Roman" w:hAnsi="Times New Roman"/>
                <w:b/>
                <w:bCs/>
                <w:sz w:val="28"/>
                <w:szCs w:val="28"/>
              </w:rPr>
            </w:pPr>
            <w:bookmarkStart w:id="1" w:name="_Toc518846494"/>
            <w:r w:rsidRPr="000C0181">
              <w:rPr>
                <w:rFonts w:ascii="Times New Roman" w:hAnsi="Times New Roman"/>
                <w:b/>
                <w:bCs/>
                <w:sz w:val="28"/>
                <w:szCs w:val="28"/>
              </w:rPr>
              <w:t>Л.В. Лотохова</w:t>
            </w:r>
            <w:bookmarkEnd w:id="1"/>
            <w:r w:rsidRPr="000C0181">
              <w:rPr>
                <w:rFonts w:ascii="Times New Roman" w:hAnsi="Times New Roman"/>
                <w:b/>
                <w:bCs/>
                <w:sz w:val="28"/>
                <w:szCs w:val="28"/>
              </w:rPr>
              <w:t xml:space="preserve"> </w:t>
            </w:r>
          </w:p>
          <w:p w:rsidR="000C0181" w:rsidRPr="000C0181" w:rsidRDefault="000C0181" w:rsidP="000C0181">
            <w:pPr>
              <w:rPr>
                <w:rFonts w:ascii="Times New Roman" w:hAnsi="Times New Roman"/>
                <w:i/>
                <w:sz w:val="28"/>
                <w:szCs w:val="28"/>
              </w:rPr>
            </w:pPr>
            <w:r w:rsidRPr="000C0181">
              <w:rPr>
                <w:rFonts w:ascii="Times New Roman" w:hAnsi="Times New Roman"/>
                <w:i/>
                <w:sz w:val="28"/>
                <w:szCs w:val="28"/>
              </w:rPr>
              <w:t>ГОУ ВПО «Донецкий национальный технический университет»</w:t>
            </w:r>
          </w:p>
          <w:p w:rsidR="000C0181" w:rsidRPr="000C0181" w:rsidRDefault="000C0181" w:rsidP="000C0181">
            <w:pPr>
              <w:rPr>
                <w:rFonts w:ascii="Times New Roman" w:hAnsi="Times New Roman"/>
                <w:i/>
                <w:sz w:val="28"/>
                <w:szCs w:val="28"/>
              </w:rPr>
            </w:pPr>
            <w:r w:rsidRPr="000C0181">
              <w:rPr>
                <w:rFonts w:ascii="Times New Roman" w:hAnsi="Times New Roman"/>
                <w:i/>
                <w:sz w:val="28"/>
                <w:szCs w:val="28"/>
              </w:rPr>
              <w:t>г. Донецк, Донецкая Народная Республика</w:t>
            </w:r>
          </w:p>
          <w:p w:rsidR="000C0181" w:rsidRPr="000C0181" w:rsidRDefault="000C0181" w:rsidP="000C0181">
            <w:pPr>
              <w:rPr>
                <w:rFonts w:ascii="Times New Roman" w:hAnsi="Times New Roman"/>
                <w:b/>
                <w:i/>
                <w:sz w:val="28"/>
                <w:szCs w:val="28"/>
              </w:rPr>
            </w:pPr>
            <w:r w:rsidRPr="000C0181">
              <w:rPr>
                <w:rFonts w:ascii="Times New Roman" w:hAnsi="Times New Roman"/>
                <w:b/>
                <w:i/>
                <w:sz w:val="28"/>
                <w:szCs w:val="28"/>
                <w:lang w:val="en-US"/>
              </w:rPr>
              <w:t>E</w:t>
            </w:r>
            <w:r w:rsidRPr="000C0181">
              <w:rPr>
                <w:rFonts w:ascii="Times New Roman" w:hAnsi="Times New Roman"/>
                <w:b/>
                <w:i/>
                <w:sz w:val="28"/>
                <w:szCs w:val="28"/>
              </w:rPr>
              <w:t>.</w:t>
            </w:r>
            <w:r w:rsidRPr="000C0181">
              <w:rPr>
                <w:rFonts w:ascii="Times New Roman" w:hAnsi="Times New Roman"/>
                <w:b/>
                <w:i/>
                <w:sz w:val="28"/>
                <w:szCs w:val="28"/>
                <w:lang w:val="en-US"/>
              </w:rPr>
              <w:t>I</w:t>
            </w:r>
            <w:r w:rsidRPr="000C0181">
              <w:rPr>
                <w:rFonts w:ascii="Times New Roman" w:hAnsi="Times New Roman"/>
                <w:b/>
                <w:i/>
                <w:sz w:val="28"/>
                <w:szCs w:val="28"/>
              </w:rPr>
              <w:t xml:space="preserve">. </w:t>
            </w:r>
            <w:r w:rsidRPr="000C0181">
              <w:rPr>
                <w:rFonts w:ascii="Times New Roman" w:hAnsi="Times New Roman"/>
                <w:b/>
                <w:i/>
                <w:sz w:val="28"/>
                <w:szCs w:val="28"/>
                <w:lang w:val="en-US"/>
              </w:rPr>
              <w:t>Polyakova</w:t>
            </w:r>
            <w:r w:rsidRPr="000C0181">
              <w:rPr>
                <w:rFonts w:ascii="Times New Roman" w:hAnsi="Times New Roman"/>
                <w:b/>
                <w:i/>
                <w:sz w:val="28"/>
                <w:szCs w:val="28"/>
              </w:rPr>
              <w:t xml:space="preserve">, </w:t>
            </w:r>
            <w:r w:rsidRPr="000C0181">
              <w:rPr>
                <w:rFonts w:ascii="Times New Roman" w:hAnsi="Times New Roman"/>
                <w:b/>
                <w:i/>
                <w:sz w:val="28"/>
                <w:szCs w:val="28"/>
                <w:lang w:val="en-US"/>
              </w:rPr>
              <w:t>L</w:t>
            </w:r>
            <w:r w:rsidRPr="000C0181">
              <w:rPr>
                <w:rFonts w:ascii="Times New Roman" w:hAnsi="Times New Roman"/>
                <w:b/>
                <w:i/>
                <w:sz w:val="28"/>
                <w:szCs w:val="28"/>
              </w:rPr>
              <w:t>.</w:t>
            </w:r>
            <w:r w:rsidRPr="000C0181">
              <w:rPr>
                <w:rFonts w:ascii="Times New Roman" w:hAnsi="Times New Roman"/>
                <w:b/>
                <w:i/>
                <w:sz w:val="28"/>
                <w:szCs w:val="28"/>
                <w:lang w:val="en-US"/>
              </w:rPr>
              <w:t>V</w:t>
            </w:r>
            <w:r w:rsidRPr="000C0181">
              <w:rPr>
                <w:rFonts w:ascii="Times New Roman" w:hAnsi="Times New Roman"/>
                <w:b/>
                <w:i/>
                <w:sz w:val="28"/>
                <w:szCs w:val="28"/>
              </w:rPr>
              <w:t xml:space="preserve">. </w:t>
            </w:r>
            <w:r w:rsidRPr="000C0181">
              <w:rPr>
                <w:rFonts w:ascii="Times New Roman" w:hAnsi="Times New Roman"/>
                <w:b/>
                <w:i/>
                <w:sz w:val="28"/>
                <w:szCs w:val="28"/>
                <w:lang w:val="en-US"/>
              </w:rPr>
              <w:t>Lotokhova</w:t>
            </w:r>
            <w:r w:rsidRPr="000C0181">
              <w:rPr>
                <w:rFonts w:ascii="Times New Roman" w:hAnsi="Times New Roman"/>
                <w:b/>
                <w:i/>
                <w:sz w:val="28"/>
                <w:szCs w:val="28"/>
              </w:rPr>
              <w:t xml:space="preserve"> </w:t>
            </w:r>
          </w:p>
          <w:p w:rsidR="000C0181" w:rsidRPr="000C0181" w:rsidRDefault="000C0181" w:rsidP="000C0181">
            <w:pPr>
              <w:rPr>
                <w:rFonts w:ascii="Times New Roman" w:hAnsi="Times New Roman"/>
                <w:i/>
                <w:sz w:val="28"/>
                <w:szCs w:val="28"/>
                <w:lang w:val="en-US"/>
              </w:rPr>
            </w:pPr>
            <w:r w:rsidRPr="000C0181">
              <w:rPr>
                <w:rFonts w:ascii="Times New Roman" w:hAnsi="Times New Roman"/>
                <w:i/>
                <w:sz w:val="28"/>
                <w:szCs w:val="28"/>
                <w:lang w:val="en-US"/>
              </w:rPr>
              <w:t>Donetsk National Technical University</w:t>
            </w:r>
          </w:p>
          <w:p w:rsidR="000C0181" w:rsidRPr="000C0181" w:rsidRDefault="000C0181" w:rsidP="000C0181">
            <w:pPr>
              <w:rPr>
                <w:rFonts w:ascii="Times New Roman" w:hAnsi="Times New Roman"/>
                <w:sz w:val="28"/>
                <w:szCs w:val="28"/>
                <w:lang w:val="en-US"/>
              </w:rPr>
            </w:pPr>
            <w:r w:rsidRPr="000C0181">
              <w:rPr>
                <w:rFonts w:ascii="Times New Roman" w:hAnsi="Times New Roman"/>
                <w:i/>
                <w:sz w:val="28"/>
                <w:szCs w:val="28"/>
                <w:lang w:val="en-US"/>
              </w:rPr>
              <w:t>Donetsk, Donetsk People's Republic</w:t>
            </w:r>
          </w:p>
        </w:tc>
      </w:tr>
      <w:tr w:rsidR="000C0181" w:rsidRPr="000C0181" w:rsidTr="002D53BD">
        <w:trPr>
          <w:jc w:val="center"/>
        </w:trPr>
        <w:tc>
          <w:tcPr>
            <w:tcW w:w="4172" w:type="dxa"/>
          </w:tcPr>
          <w:p w:rsidR="000C0181" w:rsidRPr="000C0181" w:rsidRDefault="000C0181" w:rsidP="000C0181">
            <w:pPr>
              <w:keepNext/>
              <w:keepLines/>
              <w:ind w:hanging="28"/>
              <w:jc w:val="center"/>
              <w:outlineLvl w:val="0"/>
              <w:rPr>
                <w:rFonts w:ascii="Times New Roman" w:hAnsi="Times New Roman"/>
                <w:b/>
                <w:bCs/>
                <w:caps/>
                <w:sz w:val="28"/>
                <w:szCs w:val="28"/>
                <w:shd w:val="clear" w:color="auto" w:fill="FFFFFF"/>
                <w:lang w:val="en-US"/>
              </w:rPr>
            </w:pPr>
          </w:p>
        </w:tc>
        <w:tc>
          <w:tcPr>
            <w:tcW w:w="5121" w:type="dxa"/>
          </w:tcPr>
          <w:p w:rsidR="000C0181" w:rsidRPr="000C0181" w:rsidRDefault="000C0181" w:rsidP="000C0181">
            <w:pPr>
              <w:widowControl w:val="0"/>
              <w:jc w:val="both"/>
              <w:rPr>
                <w:rFonts w:ascii="Times New Roman" w:hAnsi="Times New Roman"/>
                <w:sz w:val="28"/>
                <w:szCs w:val="24"/>
                <w:lang w:val="en-US"/>
              </w:rPr>
            </w:pPr>
          </w:p>
        </w:tc>
      </w:tr>
      <w:tr w:rsidR="000C0181" w:rsidRPr="000C0181" w:rsidTr="002D53BD">
        <w:trPr>
          <w:jc w:val="center"/>
        </w:trPr>
        <w:tc>
          <w:tcPr>
            <w:tcW w:w="9293" w:type="dxa"/>
            <w:gridSpan w:val="2"/>
          </w:tcPr>
          <w:p w:rsidR="000C0181" w:rsidRPr="000C0181" w:rsidRDefault="000C0181" w:rsidP="000C0181">
            <w:pPr>
              <w:keepNext/>
              <w:keepLines/>
              <w:ind w:hanging="28"/>
              <w:jc w:val="center"/>
              <w:outlineLvl w:val="0"/>
              <w:rPr>
                <w:rFonts w:ascii="Times New Roman" w:hAnsi="Times New Roman"/>
                <w:b/>
                <w:bCs/>
                <w:caps/>
                <w:sz w:val="28"/>
                <w:szCs w:val="28"/>
                <w:shd w:val="clear" w:color="auto" w:fill="FFFFFF"/>
              </w:rPr>
            </w:pPr>
            <w:bookmarkStart w:id="2" w:name="_Toc518846495"/>
            <w:r w:rsidRPr="000C0181">
              <w:rPr>
                <w:rFonts w:ascii="Times New Roman" w:hAnsi="Times New Roman"/>
                <w:b/>
                <w:bCs/>
                <w:caps/>
                <w:sz w:val="28"/>
                <w:szCs w:val="28"/>
                <w:shd w:val="clear" w:color="auto" w:fill="FFFFFF"/>
              </w:rPr>
              <w:t>Ресурсное обеспечение экономической стабилизации промышленных регионов в кризисных условиях</w:t>
            </w:r>
            <w:bookmarkEnd w:id="2"/>
          </w:p>
        </w:tc>
      </w:tr>
      <w:tr w:rsidR="000C0181" w:rsidRPr="000C0181" w:rsidTr="002D53BD">
        <w:trPr>
          <w:jc w:val="center"/>
        </w:trPr>
        <w:tc>
          <w:tcPr>
            <w:tcW w:w="9293" w:type="dxa"/>
            <w:gridSpan w:val="2"/>
          </w:tcPr>
          <w:p w:rsidR="000C0181" w:rsidRPr="000C0181" w:rsidRDefault="000C0181" w:rsidP="000C0181">
            <w:pPr>
              <w:jc w:val="both"/>
              <w:rPr>
                <w:rFonts w:ascii="Times New Roman" w:hAnsi="Times New Roman"/>
                <w:sz w:val="28"/>
                <w:szCs w:val="24"/>
              </w:rPr>
            </w:pPr>
          </w:p>
        </w:tc>
      </w:tr>
      <w:tr w:rsidR="000C0181" w:rsidRPr="000C0181" w:rsidTr="002D53BD">
        <w:trPr>
          <w:jc w:val="center"/>
        </w:trPr>
        <w:tc>
          <w:tcPr>
            <w:tcW w:w="9293" w:type="dxa"/>
            <w:gridSpan w:val="2"/>
          </w:tcPr>
          <w:p w:rsidR="000C0181" w:rsidRPr="000C0181" w:rsidRDefault="000C0181" w:rsidP="000C0181">
            <w:pPr>
              <w:ind w:firstLine="41"/>
              <w:jc w:val="center"/>
              <w:rPr>
                <w:rFonts w:ascii="Times New Roman" w:hAnsi="Times New Roman"/>
                <w:b/>
                <w:sz w:val="28"/>
                <w:szCs w:val="28"/>
                <w:lang w:val="en-US"/>
              </w:rPr>
            </w:pPr>
            <w:r w:rsidRPr="000C0181">
              <w:rPr>
                <w:rFonts w:ascii="Times New Roman" w:hAnsi="Times New Roman"/>
                <w:b/>
                <w:sz w:val="28"/>
                <w:szCs w:val="28"/>
                <w:lang w:val="en-US"/>
              </w:rPr>
              <w:t>RESOURCE PROVISION OF ECONOMIC STABILIZATION OF INDUSTRIAL REGIONS IN CRISIS CONDITIONS</w:t>
            </w:r>
          </w:p>
        </w:tc>
      </w:tr>
    </w:tbl>
    <w:p w:rsidR="000C0181" w:rsidRPr="000C0181" w:rsidRDefault="000C0181" w:rsidP="000C0181">
      <w:pPr>
        <w:spacing w:after="0" w:line="240" w:lineRule="auto"/>
        <w:ind w:firstLine="709"/>
        <w:jc w:val="center"/>
        <w:rPr>
          <w:rFonts w:ascii="Times New Roman" w:eastAsia="Times New Roman" w:hAnsi="Times New Roman" w:cs="Times New Roman"/>
          <w:b/>
          <w:sz w:val="28"/>
          <w:szCs w:val="28"/>
          <w:lang w:val="en-US" w:eastAsia="ru-RU"/>
        </w:rPr>
      </w:pPr>
    </w:p>
    <w:p w:rsidR="000C0181" w:rsidRPr="000C0181" w:rsidRDefault="000C0181" w:rsidP="000C0181">
      <w:pPr>
        <w:spacing w:after="0" w:line="240" w:lineRule="auto"/>
        <w:ind w:firstLine="709"/>
        <w:jc w:val="both"/>
        <w:rPr>
          <w:rFonts w:ascii="Times New Roman" w:eastAsia="Times New Roman" w:hAnsi="Times New Roman" w:cs="Times New Roman"/>
          <w:i/>
          <w:sz w:val="24"/>
          <w:szCs w:val="24"/>
          <w:lang w:eastAsia="ru-RU"/>
        </w:rPr>
      </w:pPr>
      <w:r w:rsidRPr="000C0181">
        <w:rPr>
          <w:rFonts w:ascii="Times New Roman" w:eastAsia="Times New Roman" w:hAnsi="Times New Roman" w:cs="Times New Roman"/>
          <w:i/>
          <w:sz w:val="24"/>
          <w:szCs w:val="24"/>
          <w:lang w:eastAsia="ru-RU"/>
        </w:rPr>
        <w:t xml:space="preserve">Аннотация. В статье рассмотрена структура ресурсного потенциала промышленного региона. Рассматривается понятие ресурсное обеспечение развития региона, обосновывается актуальность </w:t>
      </w:r>
      <w:r w:rsidRPr="000C0181">
        <w:rPr>
          <w:rFonts w:ascii="Times New Roman" w:eastAsia="Times New Roman" w:hAnsi="Times New Roman" w:cs="Times New Roman"/>
          <w:bCs/>
          <w:i/>
          <w:sz w:val="24"/>
          <w:szCs w:val="24"/>
          <w:lang w:eastAsia="ru-RU"/>
        </w:rPr>
        <w:t>ресурсного обеспечения экономического развития промышленных регионов в кризисных условиях</w:t>
      </w:r>
      <w:r w:rsidRPr="000C0181">
        <w:rPr>
          <w:rFonts w:ascii="Times New Roman" w:eastAsia="Times New Roman" w:hAnsi="Times New Roman" w:cs="Times New Roman"/>
          <w:i/>
          <w:sz w:val="24"/>
          <w:szCs w:val="24"/>
          <w:lang w:eastAsia="ru-RU"/>
        </w:rPr>
        <w:t>. Указаны понятия ресурсы и ресурсный потенциал.</w:t>
      </w:r>
    </w:p>
    <w:p w:rsidR="000C0181" w:rsidRPr="000C0181" w:rsidRDefault="000C0181" w:rsidP="000C0181">
      <w:pPr>
        <w:spacing w:after="0" w:line="240" w:lineRule="auto"/>
        <w:ind w:firstLine="709"/>
        <w:jc w:val="both"/>
        <w:rPr>
          <w:rFonts w:ascii="Times New Roman" w:eastAsia="Times New Roman" w:hAnsi="Times New Roman" w:cs="Times New Roman"/>
          <w:i/>
          <w:sz w:val="24"/>
          <w:szCs w:val="24"/>
          <w:lang w:eastAsia="ru-RU"/>
        </w:rPr>
      </w:pPr>
      <w:r w:rsidRPr="000C0181">
        <w:rPr>
          <w:rFonts w:ascii="Times New Roman" w:eastAsia="Times New Roman" w:hAnsi="Times New Roman" w:cs="Times New Roman"/>
          <w:i/>
          <w:sz w:val="24"/>
          <w:szCs w:val="24"/>
          <w:lang w:eastAsia="ru-RU"/>
        </w:rPr>
        <w:t>Ключевые слова: ресурсный потенциал, ресурсное обеспечение, финансовые ресурсы, материальные ресурсы, трудовые ресурсы, информационные ресурсы.</w:t>
      </w:r>
    </w:p>
    <w:p w:rsidR="000C0181" w:rsidRPr="000C0181" w:rsidRDefault="000C0181" w:rsidP="000C0181">
      <w:pPr>
        <w:spacing w:after="0" w:line="240" w:lineRule="auto"/>
        <w:ind w:firstLine="709"/>
        <w:jc w:val="both"/>
        <w:rPr>
          <w:rFonts w:ascii="Times New Roman" w:eastAsia="Times New Roman" w:hAnsi="Times New Roman" w:cs="Times New Roman"/>
          <w:i/>
          <w:sz w:val="24"/>
          <w:szCs w:val="24"/>
          <w:lang w:eastAsia="ru-RU"/>
        </w:rPr>
      </w:pPr>
    </w:p>
    <w:p w:rsidR="000C0181" w:rsidRPr="000C0181" w:rsidRDefault="000C0181" w:rsidP="000C0181">
      <w:pPr>
        <w:spacing w:after="0" w:line="240" w:lineRule="auto"/>
        <w:ind w:firstLine="709"/>
        <w:jc w:val="both"/>
        <w:rPr>
          <w:rFonts w:ascii="Times New Roman" w:eastAsia="Times New Roman" w:hAnsi="Times New Roman" w:cs="Times New Roman"/>
          <w:i/>
          <w:sz w:val="24"/>
          <w:szCs w:val="24"/>
          <w:lang w:val="en-US" w:eastAsia="ru-RU"/>
        </w:rPr>
      </w:pPr>
      <w:r w:rsidRPr="000C0181">
        <w:rPr>
          <w:rFonts w:ascii="Times New Roman" w:eastAsia="Times New Roman" w:hAnsi="Times New Roman" w:cs="Times New Roman"/>
          <w:i/>
          <w:sz w:val="24"/>
          <w:szCs w:val="24"/>
          <w:lang w:val="en-US" w:eastAsia="ru-RU"/>
        </w:rPr>
        <w:t>Abstract. The article considers the structure of the resource potential of the industrial region. The concept of resource support for the development of the region is considered, the relevance of resource support for the economic development of industrial regions under crisis conditions is substantiated. The concepts of resources and resource potential are indicated.</w:t>
      </w:r>
    </w:p>
    <w:p w:rsidR="000C0181" w:rsidRPr="000C0181" w:rsidRDefault="000C0181" w:rsidP="000C0181">
      <w:pPr>
        <w:spacing w:after="0" w:line="240" w:lineRule="auto"/>
        <w:ind w:firstLine="709"/>
        <w:jc w:val="both"/>
        <w:rPr>
          <w:rFonts w:ascii="Times New Roman" w:eastAsia="Times New Roman" w:hAnsi="Times New Roman" w:cs="Times New Roman"/>
          <w:i/>
          <w:sz w:val="24"/>
          <w:szCs w:val="24"/>
          <w:lang w:val="en-US" w:eastAsia="ru-RU"/>
        </w:rPr>
      </w:pPr>
      <w:r w:rsidRPr="000C0181">
        <w:rPr>
          <w:rFonts w:ascii="Times New Roman" w:eastAsia="Times New Roman" w:hAnsi="Times New Roman" w:cs="Times New Roman"/>
          <w:i/>
          <w:sz w:val="24"/>
          <w:szCs w:val="24"/>
          <w:lang w:val="en-US" w:eastAsia="ru-RU"/>
        </w:rPr>
        <w:t>Keywords: resource potential, resource support, financial resources, material resources, labor resources, information resources.</w:t>
      </w:r>
    </w:p>
    <w:p w:rsidR="000C0181" w:rsidRPr="000C0181" w:rsidRDefault="000C0181" w:rsidP="000C0181">
      <w:pPr>
        <w:spacing w:after="0" w:line="240" w:lineRule="auto"/>
        <w:ind w:firstLine="709"/>
        <w:jc w:val="both"/>
        <w:rPr>
          <w:rFonts w:ascii="Times New Roman" w:eastAsia="Times New Roman" w:hAnsi="Times New Roman" w:cs="Times New Roman"/>
          <w:sz w:val="24"/>
          <w:szCs w:val="24"/>
          <w:lang w:val="en-US" w:eastAsia="ru-RU"/>
        </w:rPr>
      </w:pPr>
    </w:p>
    <w:p w:rsidR="000C0181" w:rsidRPr="000C0181" w:rsidRDefault="000C0181" w:rsidP="000C0181">
      <w:pPr>
        <w:spacing w:after="0" w:line="240" w:lineRule="auto"/>
        <w:ind w:firstLine="709"/>
        <w:jc w:val="both"/>
        <w:rPr>
          <w:rFonts w:ascii="Times New Roman" w:eastAsia="Times New Roman" w:hAnsi="Times New Roman" w:cs="Times New Roman"/>
          <w:sz w:val="28"/>
          <w:szCs w:val="28"/>
          <w:lang w:eastAsia="ru-RU"/>
        </w:rPr>
      </w:pPr>
      <w:r w:rsidRPr="000C0181">
        <w:rPr>
          <w:rFonts w:ascii="Times New Roman" w:eastAsia="Times New Roman" w:hAnsi="Times New Roman" w:cs="Times New Roman"/>
          <w:b/>
          <w:sz w:val="28"/>
          <w:szCs w:val="28"/>
          <w:lang w:eastAsia="ru-RU"/>
        </w:rPr>
        <w:t>Постановка проблемы</w:t>
      </w:r>
      <w:r w:rsidRPr="000C0181">
        <w:rPr>
          <w:rFonts w:ascii="Times New Roman" w:eastAsia="Times New Roman" w:hAnsi="Times New Roman" w:cs="Times New Roman"/>
          <w:sz w:val="28"/>
          <w:szCs w:val="28"/>
          <w:lang w:eastAsia="ru-RU"/>
        </w:rPr>
        <w:t xml:space="preserve">. Потенциал промышленных предприятий за время независимости Украины получил тенденцию негативного изменения, а продукция предприятий стала менее конкурентоспособной. Негативные явления в сфере экономики появились вследствие влияния внутренних и внешних факторов, а также из-за недостатка инвестиций как источника развития регионов. В условиях глобализации экономики, мирового финансового кризиса, перераспределения капиталов и сфер влияния происходит усиление роли регионов как целостных базовых единиц экономики. Регион – как социо-эколого-экономическая система имеет специфический механизм воспроизводства и реализации внутреннего потенциала, включающего определенные ресурсы развития. Это явилось предпосылкой для проведения системных исследований, направленных на совершенствование ресурсного обеспечения региональной экономики, разработку комплексного системного инструментария по управлению ресурсным обеспечением региональной экономикой, адаптированного к </w:t>
      </w:r>
      <w:r w:rsidRPr="000C0181">
        <w:rPr>
          <w:rFonts w:ascii="Times New Roman" w:eastAsia="Times New Roman" w:hAnsi="Times New Roman" w:cs="Times New Roman"/>
          <w:sz w:val="28"/>
          <w:szCs w:val="28"/>
          <w:lang w:eastAsia="ru-RU"/>
        </w:rPr>
        <w:lastRenderedPageBreak/>
        <w:t>изменениям внешней среды и ориентированного на применение современных информационных технологий и научных методов принятия решений, повышающих качество управления в условиях высокого уровня развития экономики.</w:t>
      </w:r>
    </w:p>
    <w:p w:rsidR="000C0181" w:rsidRPr="000C0181" w:rsidRDefault="000C0181" w:rsidP="000C0181">
      <w:pPr>
        <w:spacing w:after="0" w:line="240" w:lineRule="auto"/>
        <w:ind w:firstLine="709"/>
        <w:jc w:val="both"/>
        <w:rPr>
          <w:rFonts w:ascii="Times New Roman" w:eastAsia="Times New Roman" w:hAnsi="Times New Roman" w:cs="Times New Roman"/>
          <w:sz w:val="28"/>
          <w:szCs w:val="28"/>
          <w:lang w:eastAsia="ru-RU"/>
        </w:rPr>
      </w:pPr>
      <w:r w:rsidRPr="000C0181">
        <w:rPr>
          <w:rFonts w:ascii="Times New Roman" w:eastAsia="Times New Roman" w:hAnsi="Times New Roman" w:cs="Times New Roman"/>
          <w:b/>
          <w:sz w:val="28"/>
          <w:szCs w:val="28"/>
          <w:lang w:eastAsia="ru-RU"/>
        </w:rPr>
        <w:t>Анализ предыдущих исследований и публикаций.</w:t>
      </w:r>
      <w:r w:rsidRPr="000C0181">
        <w:rPr>
          <w:rFonts w:ascii="Times New Roman" w:eastAsia="Times New Roman" w:hAnsi="Times New Roman" w:cs="Times New Roman"/>
          <w:sz w:val="28"/>
          <w:szCs w:val="28"/>
          <w:lang w:eastAsia="ru-RU"/>
        </w:rPr>
        <w:t xml:space="preserve"> В научных исследованиях отечественных ученых проводится анализ многоаспектных основ создания и управления региональной системой ресурсного обеспеченье экономической безопасности. Можно выделить труды: Г. Арлабаевой, Л. Антонюк, В. Гейца, И.Н. Герчиковой, Н.И. Глазунова, P. Фатхутдинова, Н. Пархоменко, М. Хвесик, Е. Хлобыстова, В. Шпильовой, Л. Ковальской, С. Герасимчук, И. Манцуров, В. Реутова и др. Однако, в основном, в научных публикациях освещены вопросы совершенствования ресурсного обеспечения с целью повышения устойчивости региональной экономики только основываясь на один отдельно выбранный аспект.</w:t>
      </w:r>
    </w:p>
    <w:p w:rsidR="000C0181" w:rsidRPr="000C0181" w:rsidRDefault="000C0181" w:rsidP="000C0181">
      <w:pPr>
        <w:spacing w:after="0" w:line="240" w:lineRule="auto"/>
        <w:ind w:firstLine="709"/>
        <w:jc w:val="both"/>
        <w:rPr>
          <w:rFonts w:ascii="Times New Roman" w:eastAsia="Times New Roman" w:hAnsi="Times New Roman" w:cs="Times New Roman"/>
          <w:sz w:val="28"/>
          <w:szCs w:val="28"/>
          <w:lang w:eastAsia="ru-RU"/>
        </w:rPr>
      </w:pPr>
      <w:r w:rsidRPr="000C0181">
        <w:rPr>
          <w:rFonts w:ascii="Times New Roman" w:eastAsia="Times New Roman" w:hAnsi="Times New Roman" w:cs="Times New Roman"/>
          <w:b/>
          <w:sz w:val="28"/>
          <w:szCs w:val="28"/>
          <w:lang w:eastAsia="ru-RU"/>
        </w:rPr>
        <w:t>Цель исследования</w:t>
      </w:r>
      <w:r w:rsidRPr="000C0181">
        <w:rPr>
          <w:rFonts w:ascii="Times New Roman" w:eastAsia="Times New Roman" w:hAnsi="Times New Roman" w:cs="Times New Roman"/>
          <w:sz w:val="28"/>
          <w:szCs w:val="28"/>
          <w:lang w:eastAsia="ru-RU"/>
        </w:rPr>
        <w:t>.  Целью статьи является разработка теоретических и практических подходов к разработке стратегических направлений формирования эффективной системы ресурсного обеспечения региона.</w:t>
      </w:r>
    </w:p>
    <w:p w:rsidR="000C0181" w:rsidRPr="000C0181" w:rsidRDefault="000C0181" w:rsidP="000C0181">
      <w:pPr>
        <w:spacing w:after="0" w:line="240" w:lineRule="auto"/>
        <w:ind w:firstLine="709"/>
        <w:jc w:val="both"/>
        <w:rPr>
          <w:rFonts w:ascii="Times New Roman" w:eastAsia="Times New Roman" w:hAnsi="Times New Roman" w:cs="Times New Roman"/>
          <w:sz w:val="28"/>
          <w:szCs w:val="28"/>
          <w:lang w:eastAsia="ru-RU"/>
        </w:rPr>
      </w:pPr>
      <w:r w:rsidRPr="000C0181">
        <w:rPr>
          <w:rFonts w:ascii="Times New Roman" w:eastAsia="Times New Roman" w:hAnsi="Times New Roman" w:cs="Times New Roman"/>
          <w:b/>
          <w:sz w:val="28"/>
          <w:szCs w:val="28"/>
          <w:lang w:eastAsia="ru-RU"/>
        </w:rPr>
        <w:t>Основные результаты исследования</w:t>
      </w:r>
      <w:r w:rsidRPr="000C0181">
        <w:rPr>
          <w:rFonts w:ascii="Times New Roman" w:eastAsia="Times New Roman" w:hAnsi="Times New Roman" w:cs="Times New Roman"/>
          <w:sz w:val="28"/>
          <w:szCs w:val="28"/>
          <w:lang w:eastAsia="ru-RU"/>
        </w:rPr>
        <w:t>. Вопрос ресурсного обеспечения как необходимого условия эффективной деятельности региона активно рассматривается в исследованиях последних лет. Структура ресурсного обеспечения деятельности отдельных регионов различна, поэтому появляются различные подходы к оценке и выбору методов эффективного управления оптимизационной структуры ресурсов.</w:t>
      </w:r>
    </w:p>
    <w:p w:rsidR="000C0181" w:rsidRPr="000C0181" w:rsidRDefault="000C0181" w:rsidP="000C0181">
      <w:pPr>
        <w:spacing w:after="0" w:line="240" w:lineRule="auto"/>
        <w:ind w:firstLine="709"/>
        <w:jc w:val="both"/>
        <w:rPr>
          <w:rFonts w:ascii="Times New Roman" w:eastAsia="Times New Roman" w:hAnsi="Times New Roman" w:cs="Times New Roman"/>
          <w:sz w:val="28"/>
          <w:szCs w:val="28"/>
          <w:lang w:eastAsia="ru-RU"/>
        </w:rPr>
      </w:pPr>
      <w:r w:rsidRPr="000C0181">
        <w:rPr>
          <w:rFonts w:ascii="Times New Roman" w:eastAsia="Times New Roman" w:hAnsi="Times New Roman" w:cs="Times New Roman"/>
          <w:sz w:val="28"/>
          <w:szCs w:val="28"/>
          <w:lang w:eastAsia="ru-RU"/>
        </w:rPr>
        <w:t xml:space="preserve">О.О. Скаленко отмечает, что основы социально-экономического роста закономерно базируются на следующих базовых основах, а именно информационной, интеллектуальной и инновационной [1, с.176]. В.А. Василенко отмечает, что в основе функционирования региона должен лежать его потенциал, выделенный в качестве источника, возможности, средства, запасов, которые могут быть использованы для решения текущих задач, достижения определенной цели; определения возможности отдельного индивида, общества, государства в рамках отдельной отрасли [2, с.83]. При этом выделяют производственный, трудовой, информационный потенциал, логистический, финансовый, организационный и управленческий потенциалы. Каждый указанный потенциал обеспечивается соответствующим видом ресурсов ресурса, наличествующего в этом регионе. </w:t>
      </w:r>
    </w:p>
    <w:p w:rsidR="000C0181" w:rsidRPr="000C0181" w:rsidRDefault="000C0181" w:rsidP="000C0181">
      <w:pPr>
        <w:spacing w:after="0" w:line="240" w:lineRule="auto"/>
        <w:ind w:firstLine="709"/>
        <w:jc w:val="both"/>
        <w:rPr>
          <w:rFonts w:ascii="Times New Roman" w:eastAsia="Times New Roman" w:hAnsi="Times New Roman" w:cs="Times New Roman"/>
          <w:sz w:val="28"/>
          <w:szCs w:val="28"/>
          <w:lang w:eastAsia="ru-RU"/>
        </w:rPr>
      </w:pPr>
      <w:r w:rsidRPr="000C0181">
        <w:rPr>
          <w:rFonts w:ascii="Times New Roman" w:eastAsia="Times New Roman" w:hAnsi="Times New Roman" w:cs="Times New Roman"/>
          <w:sz w:val="28"/>
          <w:szCs w:val="28"/>
          <w:lang w:eastAsia="ru-RU"/>
        </w:rPr>
        <w:t>Поэтому повышается актуальность оптимизации структуры ресурсов, обеспечивающих эффективную деятельность региона, и это позволяет облегчить поиск адекватных вариантов эффективного использования ресурсного потенциала в условиях растущей конкуренции не только на уровне государства, но и в пределах мирового сообщества.</w:t>
      </w:r>
    </w:p>
    <w:p w:rsidR="000C0181" w:rsidRPr="000C0181" w:rsidRDefault="000C0181" w:rsidP="000C0181">
      <w:pPr>
        <w:spacing w:after="0" w:line="240" w:lineRule="auto"/>
        <w:ind w:firstLine="709"/>
        <w:jc w:val="both"/>
        <w:rPr>
          <w:rFonts w:ascii="Times New Roman" w:eastAsia="Times New Roman" w:hAnsi="Times New Roman" w:cs="Times New Roman"/>
          <w:sz w:val="28"/>
          <w:szCs w:val="28"/>
          <w:lang w:eastAsia="ru-RU"/>
        </w:rPr>
      </w:pPr>
      <w:r w:rsidRPr="000C0181">
        <w:rPr>
          <w:rFonts w:ascii="Times New Roman" w:eastAsia="Times New Roman" w:hAnsi="Times New Roman" w:cs="Times New Roman"/>
          <w:sz w:val="28"/>
          <w:szCs w:val="28"/>
          <w:lang w:eastAsia="ru-RU"/>
        </w:rPr>
        <w:t xml:space="preserve">В стабилизации экономики региона основное место занимает процесс ресурсного обеспечения. От объема и состояния ресурсной базы развития зависит решение общих социально-экономических задач, связанных с обеспечением экономической стабилизации, соответствия: структуры </w:t>
      </w:r>
      <w:r w:rsidRPr="000C0181">
        <w:rPr>
          <w:rFonts w:ascii="Times New Roman" w:eastAsia="Times New Roman" w:hAnsi="Times New Roman" w:cs="Times New Roman"/>
          <w:sz w:val="28"/>
          <w:szCs w:val="28"/>
          <w:lang w:eastAsia="ru-RU"/>
        </w:rPr>
        <w:lastRenderedPageBreak/>
        <w:t>капитала и производства, конъюнктуры рынка, роста жизненного уровня населения, макроэкономической стабильности региона.</w:t>
      </w:r>
    </w:p>
    <w:p w:rsidR="000C0181" w:rsidRPr="000C0181" w:rsidRDefault="000C0181" w:rsidP="000C0181">
      <w:pPr>
        <w:spacing w:after="0" w:line="240" w:lineRule="auto"/>
        <w:ind w:firstLine="708"/>
        <w:jc w:val="both"/>
        <w:rPr>
          <w:rFonts w:ascii="Times New Roman" w:eastAsia="Times New Roman" w:hAnsi="Times New Roman" w:cs="Times New Roman"/>
          <w:sz w:val="28"/>
          <w:szCs w:val="28"/>
          <w:lang w:eastAsia="ru-RU"/>
        </w:rPr>
      </w:pPr>
      <w:r w:rsidRPr="000C0181">
        <w:rPr>
          <w:rFonts w:ascii="Times New Roman" w:eastAsia="Times New Roman" w:hAnsi="Times New Roman" w:cs="Times New Roman"/>
          <w:sz w:val="28"/>
          <w:szCs w:val="28"/>
          <w:lang w:eastAsia="ru-RU"/>
        </w:rPr>
        <w:t>Ресурсный потенциал региона формируется как совокупность всех видов ресурсов, данной территориальной зоны, которые могут быть использованы в процессе общественного производства.</w:t>
      </w:r>
    </w:p>
    <w:p w:rsidR="000C0181" w:rsidRPr="000C0181" w:rsidRDefault="000C0181" w:rsidP="000C0181">
      <w:pPr>
        <w:spacing w:after="0" w:line="240" w:lineRule="auto"/>
        <w:ind w:firstLine="709"/>
        <w:jc w:val="both"/>
        <w:rPr>
          <w:rFonts w:ascii="Times New Roman" w:eastAsia="Times New Roman" w:hAnsi="Times New Roman" w:cs="Times New Roman"/>
          <w:sz w:val="28"/>
          <w:szCs w:val="28"/>
          <w:lang w:eastAsia="ru-RU"/>
        </w:rPr>
      </w:pPr>
      <w:r w:rsidRPr="000C0181">
        <w:rPr>
          <w:rFonts w:ascii="Times New Roman" w:eastAsia="Times New Roman" w:hAnsi="Times New Roman" w:cs="Times New Roman"/>
          <w:sz w:val="28"/>
          <w:szCs w:val="28"/>
          <w:lang w:eastAsia="ru-RU"/>
        </w:rPr>
        <w:t>Ресурсное обеспечение стабилизации региона – сложный и многофакторный процесс. В условиях рыночного перераспределения ресурсов целью, которого является реализация краткосрочных и высокодоходных проектов объективно существует необходимость привлечения ресурсов для реализации общерегиональных долгосрочных проектов развития.</w:t>
      </w:r>
    </w:p>
    <w:p w:rsidR="000C0181" w:rsidRPr="000C0181" w:rsidRDefault="000C0181" w:rsidP="000C0181">
      <w:pPr>
        <w:spacing w:after="0" w:line="240" w:lineRule="auto"/>
        <w:ind w:firstLine="709"/>
        <w:jc w:val="both"/>
        <w:rPr>
          <w:rFonts w:ascii="Times New Roman" w:eastAsia="Times New Roman" w:hAnsi="Times New Roman" w:cs="Times New Roman"/>
          <w:sz w:val="28"/>
          <w:szCs w:val="28"/>
          <w:lang w:eastAsia="ru-RU"/>
        </w:rPr>
      </w:pPr>
      <w:r w:rsidRPr="000C0181">
        <w:rPr>
          <w:rFonts w:ascii="Times New Roman" w:eastAsia="Times New Roman" w:hAnsi="Times New Roman" w:cs="Times New Roman"/>
          <w:sz w:val="28"/>
          <w:szCs w:val="28"/>
          <w:lang w:eastAsia="ru-RU"/>
        </w:rPr>
        <w:t>Структура ресурсного обеспечения для каждого региона носит индивидуальный характер, исходя из специфики отрасли, уровня экономического развития, состояния потенциала развития и выбранной стратегии дальнейших изменений [3].</w:t>
      </w:r>
    </w:p>
    <w:p w:rsidR="000C0181" w:rsidRPr="000C0181" w:rsidRDefault="000C0181" w:rsidP="000C0181">
      <w:pPr>
        <w:spacing w:after="0" w:line="240" w:lineRule="auto"/>
        <w:ind w:firstLine="709"/>
        <w:jc w:val="both"/>
        <w:rPr>
          <w:rFonts w:ascii="Times New Roman" w:eastAsia="Times New Roman" w:hAnsi="Times New Roman" w:cs="Times New Roman"/>
          <w:sz w:val="28"/>
          <w:szCs w:val="28"/>
          <w:lang w:eastAsia="ru-RU"/>
        </w:rPr>
      </w:pPr>
      <w:r w:rsidRPr="000C0181">
        <w:rPr>
          <w:rFonts w:ascii="Times New Roman" w:eastAsia="Times New Roman" w:hAnsi="Times New Roman" w:cs="Times New Roman"/>
          <w:sz w:val="28"/>
          <w:szCs w:val="28"/>
          <w:lang w:eastAsia="ru-RU"/>
        </w:rPr>
        <w:t>Особенностью управления ресурсами является то, что каждое отдельное предприятие отрасли отличается специфической структурой ресурсного потенциала. Так материалоемкие области – добывающая и перерабатывающая отрасль промышленности, требуют значительных материальных ресурсов, которые составляют преобладающую долю в издержках производства.</w:t>
      </w:r>
    </w:p>
    <w:p w:rsidR="000C0181" w:rsidRPr="000C0181" w:rsidRDefault="000C0181" w:rsidP="000C0181">
      <w:pPr>
        <w:spacing w:after="0" w:line="240" w:lineRule="auto"/>
        <w:ind w:firstLine="709"/>
        <w:jc w:val="both"/>
        <w:rPr>
          <w:rFonts w:ascii="Times New Roman" w:eastAsia="Times New Roman" w:hAnsi="Times New Roman" w:cs="Times New Roman"/>
          <w:sz w:val="28"/>
          <w:szCs w:val="28"/>
          <w:lang w:eastAsia="ru-RU"/>
        </w:rPr>
      </w:pPr>
      <w:r w:rsidRPr="000C0181">
        <w:rPr>
          <w:rFonts w:ascii="Times New Roman" w:eastAsia="Times New Roman" w:hAnsi="Times New Roman" w:cs="Times New Roman"/>
          <w:sz w:val="28"/>
          <w:szCs w:val="28"/>
          <w:lang w:eastAsia="ru-RU"/>
        </w:rPr>
        <w:t xml:space="preserve">Материальные ресурсы ограничены и поэтому их логистика подвержена проявлением дефицита, поэтому необходимо искать варианты их эффективного и рационального использование, за счет повторной переработки и замены искусственно созданных аналогов. Стратегическое управление материальными ресурсами предусматривает: снижение материалоемкости продукции; увеличение выхода продукции; сокращение и ликвидацию потерь; использование вторичных ресурсов и отходов. </w:t>
      </w:r>
    </w:p>
    <w:p w:rsidR="000C0181" w:rsidRPr="000C0181" w:rsidRDefault="000C0181" w:rsidP="000C0181">
      <w:pPr>
        <w:spacing w:after="0" w:line="240" w:lineRule="auto"/>
        <w:ind w:firstLine="709"/>
        <w:jc w:val="both"/>
        <w:rPr>
          <w:rFonts w:ascii="Times New Roman" w:eastAsia="Times New Roman" w:hAnsi="Times New Roman" w:cs="Times New Roman"/>
          <w:sz w:val="28"/>
          <w:szCs w:val="28"/>
          <w:lang w:eastAsia="ru-RU"/>
        </w:rPr>
      </w:pPr>
      <w:r w:rsidRPr="000C0181">
        <w:rPr>
          <w:rFonts w:ascii="Times New Roman" w:eastAsia="Times New Roman" w:hAnsi="Times New Roman" w:cs="Times New Roman"/>
          <w:sz w:val="28"/>
          <w:szCs w:val="28"/>
          <w:lang w:eastAsia="ru-RU"/>
        </w:rPr>
        <w:t xml:space="preserve">Капиталоемкие отрасли – машиностроительная, строительная отрасль, требуют значительных технологических и технических ресурсов, которые, с одной стороны, играют прогрессивную роль в развитии предприятия и обеспечивают ему конкурентное преимущество, с другой – при недостатке или неэффективном использовании ограничивают дальнейшее развитие. Управление данной составляющей ресурсного обеспечения деятельности хозяйствующего субъекта предполагает постоянный процесс оптимизации использования и замены технико-технологической составляющей потенциала. </w:t>
      </w:r>
    </w:p>
    <w:p w:rsidR="000C0181" w:rsidRPr="000C0181" w:rsidRDefault="000C0181" w:rsidP="000C0181">
      <w:pPr>
        <w:spacing w:after="0" w:line="240" w:lineRule="auto"/>
        <w:ind w:firstLine="709"/>
        <w:jc w:val="both"/>
        <w:rPr>
          <w:rFonts w:ascii="Times New Roman" w:eastAsia="Times New Roman" w:hAnsi="Times New Roman" w:cs="Times New Roman"/>
          <w:sz w:val="28"/>
          <w:szCs w:val="28"/>
          <w:lang w:eastAsia="ru-RU"/>
        </w:rPr>
      </w:pPr>
      <w:r w:rsidRPr="000C0181">
        <w:rPr>
          <w:rFonts w:ascii="Times New Roman" w:eastAsia="Times New Roman" w:hAnsi="Times New Roman" w:cs="Times New Roman"/>
          <w:sz w:val="28"/>
          <w:szCs w:val="28"/>
          <w:lang w:eastAsia="ru-RU"/>
        </w:rPr>
        <w:t>Трудоемкие отрасли – электроника, легкая, пищевая промышленность базируются на использовании значительных трудовых ресурсов. Управление трудовыми ресурсами базируется на утверждении, что работник – важный фактор производства в современных условиях, позволяющий приспособить свою деятельность к требованиям внешней среды. Стратегическое управление трудовыми ресурсами предусматривает подбор кадров, обучение, переквалификацию, замещение, оценку, увольнение и мотивацию труда.</w:t>
      </w:r>
    </w:p>
    <w:p w:rsidR="000C0181" w:rsidRPr="000C0181" w:rsidRDefault="000C0181" w:rsidP="000C0181">
      <w:pPr>
        <w:spacing w:after="0" w:line="240" w:lineRule="auto"/>
        <w:ind w:firstLine="709"/>
        <w:jc w:val="both"/>
        <w:rPr>
          <w:rFonts w:ascii="Times New Roman" w:eastAsia="Times New Roman" w:hAnsi="Times New Roman" w:cs="Times New Roman"/>
          <w:sz w:val="28"/>
          <w:szCs w:val="28"/>
          <w:lang w:eastAsia="ru-RU"/>
        </w:rPr>
      </w:pPr>
      <w:r w:rsidRPr="000C0181">
        <w:rPr>
          <w:rFonts w:ascii="Times New Roman" w:eastAsia="Times New Roman" w:hAnsi="Times New Roman" w:cs="Times New Roman"/>
          <w:sz w:val="28"/>
          <w:szCs w:val="28"/>
          <w:lang w:eastAsia="ru-RU"/>
        </w:rPr>
        <w:t xml:space="preserve">Информационноемкие области (банковская отрасль, консалтинг, информационные системы) требуют постоянной и достоверной информации об отдельных тенденциях развития экономики не только государства, но и региона. Информационные ресурсы и коммуникации выступают в роли </w:t>
      </w:r>
      <w:r w:rsidRPr="000C0181">
        <w:rPr>
          <w:rFonts w:ascii="Times New Roman" w:eastAsia="Times New Roman" w:hAnsi="Times New Roman" w:cs="Times New Roman"/>
          <w:sz w:val="28"/>
          <w:szCs w:val="28"/>
          <w:lang w:eastAsia="ru-RU"/>
        </w:rPr>
        <w:lastRenderedPageBreak/>
        <w:t xml:space="preserve">связующего звена между организацией и внешней средой. Достоверная и своевременная информация является залогом успешного функционирования хозяйствующего субъекта, позволяющего выявлять изменения, происходящие в его рабочей среде и своевременно на них реагировать. </w:t>
      </w:r>
    </w:p>
    <w:p w:rsidR="000C0181" w:rsidRPr="000C0181" w:rsidRDefault="000C0181" w:rsidP="000C0181">
      <w:pPr>
        <w:spacing w:after="0" w:line="240" w:lineRule="auto"/>
        <w:ind w:firstLine="709"/>
        <w:jc w:val="both"/>
        <w:rPr>
          <w:rFonts w:ascii="Times New Roman" w:eastAsia="Times New Roman" w:hAnsi="Times New Roman" w:cs="Times New Roman"/>
          <w:sz w:val="28"/>
          <w:szCs w:val="28"/>
          <w:lang w:eastAsia="ru-RU"/>
        </w:rPr>
      </w:pPr>
      <w:r w:rsidRPr="000C0181">
        <w:rPr>
          <w:rFonts w:ascii="Times New Roman" w:eastAsia="Times New Roman" w:hAnsi="Times New Roman" w:cs="Times New Roman"/>
          <w:sz w:val="28"/>
          <w:szCs w:val="28"/>
          <w:lang w:eastAsia="ru-RU"/>
        </w:rPr>
        <w:t xml:space="preserve">Энергоемкие отрасли – энергетическая отрасль, отрасль цветной металлургии требуют значительных затрат энергетических ресурсов – угля, электроэнергии, торфа. В современных условиях необходимо проводить исследование энергоемкости производства и составлять бюджет в рамках существующих ограничений. Вместе с тем, приоритетным направлением стабилизации хозяйствующего субъектов, становится поиск альтернативных источников, что обеспечивает уменьшение зависимости от воздействия политических, экономических и международных факторов. </w:t>
      </w:r>
    </w:p>
    <w:p w:rsidR="000C0181" w:rsidRPr="000C0181" w:rsidRDefault="000C0181" w:rsidP="000C0181">
      <w:pPr>
        <w:spacing w:after="0" w:line="240" w:lineRule="auto"/>
        <w:ind w:firstLine="709"/>
        <w:jc w:val="both"/>
        <w:rPr>
          <w:rFonts w:ascii="Times New Roman" w:eastAsia="Times New Roman" w:hAnsi="Times New Roman" w:cs="Times New Roman"/>
          <w:sz w:val="28"/>
          <w:szCs w:val="28"/>
          <w:lang w:eastAsia="ru-RU"/>
        </w:rPr>
      </w:pPr>
      <w:r w:rsidRPr="000C0181">
        <w:rPr>
          <w:rFonts w:ascii="Times New Roman" w:eastAsia="Times New Roman" w:hAnsi="Times New Roman" w:cs="Times New Roman"/>
          <w:sz w:val="28"/>
          <w:szCs w:val="28"/>
          <w:lang w:eastAsia="ru-RU"/>
        </w:rPr>
        <w:t>Финансовые ресурсы являются необходимым материальным базисом для стабилизации любого хозяйствующего субъекта. Они позволяют наладить управление для ориентации, на обеспечение стабильных и жизненно важных финансовых потоков, поиск внешних источников финансирования при условии необходимости, оптимизации структуры капитала. В современных условиях инновационные ресурсы обеспечивают конкурентные позиции и выживания предприятия в долгосрочной перспективе. Таким образом, финансирование следует рассматривать как один из наиболее важных видов ресурсного обеспечения.</w:t>
      </w:r>
    </w:p>
    <w:p w:rsidR="000C0181" w:rsidRPr="000C0181" w:rsidRDefault="000C0181" w:rsidP="000C0181">
      <w:pPr>
        <w:spacing w:after="0" w:line="240" w:lineRule="auto"/>
        <w:ind w:firstLine="709"/>
        <w:jc w:val="both"/>
        <w:rPr>
          <w:rFonts w:ascii="Times New Roman" w:eastAsia="Times New Roman" w:hAnsi="Times New Roman" w:cs="Times New Roman"/>
          <w:sz w:val="28"/>
          <w:szCs w:val="28"/>
          <w:lang w:eastAsia="ru-RU"/>
        </w:rPr>
      </w:pPr>
      <w:r w:rsidRPr="000C0181">
        <w:rPr>
          <w:rFonts w:ascii="Times New Roman" w:eastAsia="Times New Roman" w:hAnsi="Times New Roman" w:cs="Times New Roman"/>
          <w:sz w:val="28"/>
          <w:szCs w:val="28"/>
          <w:lang w:eastAsia="ru-RU"/>
        </w:rPr>
        <w:t>Управление системой ресурсного обеспечения экономической стабилизации региона характеризуется взаимосогласованностью функций управления, основными из которых для обеспечения устойчивости, должны стать: функция адаптации, обеспечивающая адаптацию территории к изменениям внутренней и внешней среды; функция безопасности, позволяющая минимизировать угрозы среды, вследствие каких-либо изменений.</w:t>
      </w:r>
    </w:p>
    <w:p w:rsidR="000C0181" w:rsidRPr="000C0181" w:rsidRDefault="000C0181" w:rsidP="000C0181">
      <w:pPr>
        <w:spacing w:after="0" w:line="240" w:lineRule="auto"/>
        <w:ind w:firstLine="709"/>
        <w:jc w:val="both"/>
        <w:rPr>
          <w:rFonts w:ascii="Times New Roman" w:eastAsia="Times New Roman" w:hAnsi="Times New Roman" w:cs="Times New Roman"/>
          <w:sz w:val="28"/>
          <w:szCs w:val="28"/>
          <w:lang w:eastAsia="ru-RU"/>
        </w:rPr>
      </w:pPr>
      <w:r w:rsidRPr="000C0181">
        <w:rPr>
          <w:rFonts w:ascii="Times New Roman" w:eastAsia="Times New Roman" w:hAnsi="Times New Roman" w:cs="Times New Roman"/>
          <w:sz w:val="28"/>
          <w:szCs w:val="28"/>
          <w:lang w:eastAsia="ru-RU"/>
        </w:rPr>
        <w:t>Ресурсный потенциал региона соответствующей отрасли характеризуется следующим: структурой необходимых и доступных ресурсов в зависимости от отраслевой принадлежности, характера производства и местонахождения; системой принятия решений по ресурсному обеспечению разработки и выполнения ресурсных стратегий, зависящих от форм собственности и уровня управления предприятием; оптимальным соотношением ресурсов для достижения определенных целей развития. При этом внедрение инноваций в организации сопровождается дополнительным привлечением финансовых ресурсов, информационных и трудовых ресурсов [4].</w:t>
      </w:r>
    </w:p>
    <w:p w:rsidR="000C0181" w:rsidRPr="000C0181" w:rsidRDefault="000C0181" w:rsidP="000C0181">
      <w:pPr>
        <w:spacing w:after="0" w:line="240" w:lineRule="auto"/>
        <w:ind w:firstLine="709"/>
        <w:jc w:val="both"/>
        <w:rPr>
          <w:rFonts w:ascii="Times New Roman" w:eastAsia="Times New Roman" w:hAnsi="Times New Roman" w:cs="Times New Roman"/>
          <w:sz w:val="28"/>
          <w:szCs w:val="28"/>
          <w:lang w:eastAsia="ru-RU"/>
        </w:rPr>
      </w:pPr>
      <w:r w:rsidRPr="000C0181">
        <w:rPr>
          <w:rFonts w:ascii="Times New Roman" w:eastAsia="Times New Roman" w:hAnsi="Times New Roman" w:cs="Times New Roman"/>
          <w:sz w:val="28"/>
          <w:szCs w:val="28"/>
          <w:lang w:eastAsia="ru-RU"/>
        </w:rPr>
        <w:t>Значение и влияние ресурсов на эффективность функционирования региона определяется ролью, которую играет ресурс для достижения целей, возможностями его замены, уровнем влияния цены на отдельные ресурсы и оценивается системой показателей, характеризующих эффективность использования ресурсов, и определяют их влияние на конечные результаты деятельности.</w:t>
      </w:r>
    </w:p>
    <w:p w:rsidR="000C0181" w:rsidRPr="000C0181" w:rsidRDefault="000C0181" w:rsidP="000C0181">
      <w:pPr>
        <w:spacing w:after="0" w:line="240" w:lineRule="auto"/>
        <w:ind w:firstLine="709"/>
        <w:jc w:val="both"/>
        <w:rPr>
          <w:rFonts w:ascii="Times New Roman" w:eastAsia="Times New Roman" w:hAnsi="Times New Roman" w:cs="Times New Roman"/>
          <w:sz w:val="28"/>
          <w:szCs w:val="28"/>
          <w:lang w:eastAsia="ru-RU"/>
        </w:rPr>
      </w:pPr>
      <w:r w:rsidRPr="000C0181">
        <w:rPr>
          <w:rFonts w:ascii="Times New Roman" w:eastAsia="Times New Roman" w:hAnsi="Times New Roman" w:cs="Times New Roman"/>
          <w:sz w:val="28"/>
          <w:szCs w:val="28"/>
          <w:lang w:eastAsia="ru-RU"/>
        </w:rPr>
        <w:lastRenderedPageBreak/>
        <w:t xml:space="preserve">Так, эффективность использования материально-сырьевых ресурсов можно определить с помощью следующих показателей: материалоемкость, глубины разработки, доли отходов. Эффективность использования трудовых ресурсов оценивается с помощью показателей: производительность труда, выработка на одного работника; доля прироста товарооборота за счет увеличения производительности труда; оценку эффективности использования финансовых ресурсов можно осуществить с помощью показателей: прибыль; рентабельность; доля собственного капитала; ликвидность; платежеспособность. </w:t>
      </w:r>
    </w:p>
    <w:p w:rsidR="000C0181" w:rsidRPr="000C0181" w:rsidRDefault="000C0181" w:rsidP="000C0181">
      <w:pPr>
        <w:spacing w:after="0" w:line="240" w:lineRule="auto"/>
        <w:ind w:firstLine="709"/>
        <w:jc w:val="both"/>
        <w:rPr>
          <w:rFonts w:ascii="Times New Roman" w:eastAsia="Times New Roman" w:hAnsi="Times New Roman" w:cs="Times New Roman"/>
          <w:sz w:val="28"/>
          <w:szCs w:val="28"/>
          <w:lang w:eastAsia="ru-RU"/>
        </w:rPr>
      </w:pPr>
      <w:r w:rsidRPr="000C0181">
        <w:rPr>
          <w:rFonts w:ascii="Times New Roman" w:eastAsia="Times New Roman" w:hAnsi="Times New Roman" w:cs="Times New Roman"/>
          <w:sz w:val="28"/>
          <w:szCs w:val="28"/>
          <w:lang w:eastAsia="ru-RU"/>
        </w:rPr>
        <w:t>Эффективность использования технико-технологических ресурсов с помощью таких оценочных показателей, как: фондовооруженность; фондоотдача, уровень загрузки производственных мощностей; капиталоемкость, капиталоотдача.</w:t>
      </w:r>
    </w:p>
    <w:p w:rsidR="000C0181" w:rsidRPr="000C0181" w:rsidRDefault="000C0181" w:rsidP="000C0181">
      <w:pPr>
        <w:spacing w:after="0" w:line="240" w:lineRule="auto"/>
        <w:ind w:firstLine="709"/>
        <w:jc w:val="both"/>
        <w:rPr>
          <w:rFonts w:ascii="Times New Roman" w:eastAsia="Times New Roman" w:hAnsi="Times New Roman" w:cs="Times New Roman"/>
          <w:sz w:val="28"/>
          <w:szCs w:val="28"/>
          <w:lang w:eastAsia="ru-RU"/>
        </w:rPr>
      </w:pPr>
      <w:r w:rsidRPr="000C0181">
        <w:rPr>
          <w:rFonts w:ascii="Times New Roman" w:eastAsia="Times New Roman" w:hAnsi="Times New Roman" w:cs="Times New Roman"/>
          <w:sz w:val="28"/>
          <w:szCs w:val="28"/>
          <w:lang w:eastAsia="ru-RU"/>
        </w:rPr>
        <w:t>Эффективность использования энергетических ресурсов оценивается с помощью показателей: энергоемкость, энерговооруженность, уровень потерь.</w:t>
      </w:r>
    </w:p>
    <w:p w:rsidR="000C0181" w:rsidRPr="000C0181" w:rsidRDefault="000C0181" w:rsidP="000C0181">
      <w:pPr>
        <w:spacing w:after="0" w:line="240" w:lineRule="auto"/>
        <w:ind w:firstLine="709"/>
        <w:jc w:val="both"/>
        <w:rPr>
          <w:rFonts w:ascii="Times New Roman" w:eastAsia="Times New Roman" w:hAnsi="Times New Roman" w:cs="Times New Roman"/>
          <w:sz w:val="28"/>
          <w:szCs w:val="28"/>
          <w:lang w:eastAsia="ru-RU"/>
        </w:rPr>
      </w:pPr>
      <w:r w:rsidRPr="000C0181">
        <w:rPr>
          <w:rFonts w:ascii="Times New Roman" w:eastAsia="Times New Roman" w:hAnsi="Times New Roman" w:cs="Times New Roman"/>
          <w:sz w:val="28"/>
          <w:szCs w:val="28"/>
          <w:lang w:eastAsia="ru-RU"/>
        </w:rPr>
        <w:t>Определить эффективность использования инновационных ресурсов можно с помощью таких показателей, как: удельный вес новых продуктов в ассортименте предприятия, количества зарегистрированных патентов; средний период действия патентов; количество рационализаторских предложений на одного работника.</w:t>
      </w:r>
    </w:p>
    <w:p w:rsidR="000C0181" w:rsidRPr="000C0181" w:rsidRDefault="000C0181" w:rsidP="000C0181">
      <w:pPr>
        <w:spacing w:after="0" w:line="240" w:lineRule="auto"/>
        <w:ind w:firstLine="709"/>
        <w:jc w:val="both"/>
        <w:rPr>
          <w:rFonts w:ascii="Times New Roman" w:eastAsia="Times New Roman" w:hAnsi="Times New Roman" w:cs="Times New Roman"/>
          <w:sz w:val="28"/>
          <w:szCs w:val="28"/>
          <w:lang w:eastAsia="ru-RU"/>
        </w:rPr>
      </w:pPr>
      <w:r w:rsidRPr="000C0181">
        <w:rPr>
          <w:rFonts w:ascii="Times New Roman" w:eastAsia="Times New Roman" w:hAnsi="Times New Roman" w:cs="Times New Roman"/>
          <w:sz w:val="28"/>
          <w:szCs w:val="28"/>
          <w:lang w:eastAsia="ru-RU"/>
        </w:rPr>
        <w:t>Для оценки эффективности использования информационных ресурсов можно использовать такие показатели, как: уровень информационной поддержки деятельности предприятия, уровень информационного обновления, уровень доступа работников к информации, его сферы деятельности [5].</w:t>
      </w:r>
    </w:p>
    <w:p w:rsidR="000C0181" w:rsidRPr="000C0181" w:rsidRDefault="000C0181" w:rsidP="000C0181">
      <w:pPr>
        <w:spacing w:after="0" w:line="240" w:lineRule="auto"/>
        <w:ind w:firstLine="709"/>
        <w:jc w:val="both"/>
        <w:rPr>
          <w:rFonts w:ascii="Times New Roman" w:eastAsia="Times New Roman" w:hAnsi="Times New Roman" w:cs="Times New Roman"/>
          <w:sz w:val="28"/>
          <w:szCs w:val="28"/>
          <w:lang w:eastAsia="ru-RU"/>
        </w:rPr>
      </w:pPr>
      <w:r w:rsidRPr="000C0181">
        <w:rPr>
          <w:rFonts w:ascii="Times New Roman" w:eastAsia="Times New Roman" w:hAnsi="Times New Roman" w:cs="Times New Roman"/>
          <w:b/>
          <w:sz w:val="28"/>
          <w:szCs w:val="28"/>
          <w:lang w:eastAsia="ru-RU"/>
        </w:rPr>
        <w:t>Выводы.</w:t>
      </w:r>
      <w:r w:rsidRPr="000C0181">
        <w:rPr>
          <w:rFonts w:ascii="Times New Roman" w:eastAsia="Times New Roman" w:hAnsi="Times New Roman" w:cs="Times New Roman"/>
          <w:sz w:val="28"/>
          <w:szCs w:val="28"/>
          <w:lang w:eastAsia="ru-RU"/>
        </w:rPr>
        <w:t xml:space="preserve"> Резюмируя вышеизложенное, следует подчеркнуть, что необходимым условием стабилизации региона является выбор оптимальной структуры ресурсного обеспечение эффективной работы в условиях динамических изменений, происходящих во внешней среде. Можно выделить следующие направления улучшения деятельности региона на основе совершенствования управления ресурсным потенциалом: </w:t>
      </w:r>
    </w:p>
    <w:p w:rsidR="000C0181" w:rsidRPr="000C0181" w:rsidRDefault="000C0181" w:rsidP="000C0181">
      <w:pPr>
        <w:spacing w:after="0" w:line="240" w:lineRule="auto"/>
        <w:ind w:firstLine="709"/>
        <w:jc w:val="both"/>
        <w:rPr>
          <w:rFonts w:ascii="Times New Roman" w:eastAsia="Times New Roman" w:hAnsi="Times New Roman" w:cs="Times New Roman"/>
          <w:sz w:val="28"/>
          <w:szCs w:val="28"/>
          <w:lang w:eastAsia="ru-RU"/>
        </w:rPr>
      </w:pPr>
      <w:r w:rsidRPr="000C0181">
        <w:rPr>
          <w:rFonts w:ascii="Times New Roman" w:eastAsia="Times New Roman" w:hAnsi="Times New Roman" w:cs="Times New Roman"/>
          <w:sz w:val="28"/>
          <w:szCs w:val="28"/>
          <w:lang w:eastAsia="ru-RU"/>
        </w:rPr>
        <w:t xml:space="preserve">1) уменьшение затрат на ресурсное обеспечение, за счет рационализации использования; </w:t>
      </w:r>
    </w:p>
    <w:p w:rsidR="000C0181" w:rsidRPr="000C0181" w:rsidRDefault="000C0181" w:rsidP="000C0181">
      <w:pPr>
        <w:spacing w:after="0" w:line="240" w:lineRule="auto"/>
        <w:ind w:firstLine="709"/>
        <w:jc w:val="both"/>
        <w:rPr>
          <w:rFonts w:ascii="Times New Roman" w:eastAsia="Times New Roman" w:hAnsi="Times New Roman" w:cs="Times New Roman"/>
          <w:sz w:val="28"/>
          <w:szCs w:val="28"/>
          <w:lang w:eastAsia="ru-RU"/>
        </w:rPr>
      </w:pPr>
      <w:r w:rsidRPr="000C0181">
        <w:rPr>
          <w:rFonts w:ascii="Times New Roman" w:eastAsia="Times New Roman" w:hAnsi="Times New Roman" w:cs="Times New Roman"/>
          <w:sz w:val="28"/>
          <w:szCs w:val="28"/>
          <w:lang w:eastAsia="ru-RU"/>
        </w:rPr>
        <w:t xml:space="preserve">2) сокращение экономически нецелесообразных направлений деятельности, требующих привлечения дополнительных ресурсов; </w:t>
      </w:r>
    </w:p>
    <w:p w:rsidR="000C0181" w:rsidRPr="000C0181" w:rsidRDefault="000C0181" w:rsidP="000C0181">
      <w:pPr>
        <w:spacing w:after="0" w:line="240" w:lineRule="auto"/>
        <w:ind w:firstLine="709"/>
        <w:jc w:val="both"/>
        <w:rPr>
          <w:rFonts w:ascii="Times New Roman" w:eastAsia="Times New Roman" w:hAnsi="Times New Roman" w:cs="Times New Roman"/>
          <w:sz w:val="28"/>
          <w:szCs w:val="28"/>
          <w:lang w:eastAsia="ru-RU"/>
        </w:rPr>
      </w:pPr>
      <w:r w:rsidRPr="000C0181">
        <w:rPr>
          <w:rFonts w:ascii="Times New Roman" w:eastAsia="Times New Roman" w:hAnsi="Times New Roman" w:cs="Times New Roman"/>
          <w:sz w:val="28"/>
          <w:szCs w:val="28"/>
          <w:lang w:eastAsia="ru-RU"/>
        </w:rPr>
        <w:t>3) создание конкурентных преимуществ на основе поиска и выбора такой структуры ресурсного обеспечения, которая позволит эффективно использовать внутренний потенциал развития региона.</w:t>
      </w:r>
    </w:p>
    <w:p w:rsidR="000C0181" w:rsidRPr="000C0181" w:rsidRDefault="000C0181" w:rsidP="000C0181">
      <w:pPr>
        <w:spacing w:after="0" w:line="240" w:lineRule="auto"/>
        <w:ind w:firstLine="709"/>
        <w:jc w:val="both"/>
        <w:rPr>
          <w:rFonts w:ascii="Times New Roman" w:eastAsia="Times New Roman" w:hAnsi="Times New Roman" w:cs="Times New Roman"/>
          <w:sz w:val="28"/>
          <w:szCs w:val="28"/>
          <w:lang w:eastAsia="ru-RU"/>
        </w:rPr>
      </w:pPr>
      <w:r w:rsidRPr="000C0181">
        <w:rPr>
          <w:rFonts w:ascii="Times New Roman" w:eastAsia="Times New Roman" w:hAnsi="Times New Roman" w:cs="Times New Roman"/>
          <w:sz w:val="28"/>
          <w:szCs w:val="28"/>
          <w:lang w:eastAsia="ru-RU"/>
        </w:rPr>
        <w:t>Вместе с тем, необходимым условием эффективного использования имеющихся ресурсов является их интенсивное использование, основанное на внедрении передовых достижений научно-технического прогресса в производство; применение новых технологий; повышение уровня образования и квалификации работников4 улучшение форм и методов организации производства; экономный расход человеческих, финансовых и природных ресурсов.</w:t>
      </w:r>
    </w:p>
    <w:p w:rsidR="000C0181" w:rsidRPr="000C0181" w:rsidRDefault="000C0181" w:rsidP="000C0181">
      <w:pPr>
        <w:spacing w:after="0" w:line="240" w:lineRule="auto"/>
        <w:ind w:firstLine="709"/>
        <w:jc w:val="both"/>
        <w:rPr>
          <w:rFonts w:ascii="Times New Roman" w:eastAsia="Times New Roman" w:hAnsi="Times New Roman" w:cs="Times New Roman"/>
          <w:sz w:val="28"/>
          <w:szCs w:val="28"/>
          <w:lang w:eastAsia="ru-RU"/>
        </w:rPr>
      </w:pPr>
      <w:r w:rsidRPr="000C0181">
        <w:rPr>
          <w:rFonts w:ascii="Times New Roman" w:eastAsia="Times New Roman" w:hAnsi="Times New Roman" w:cs="Times New Roman"/>
          <w:sz w:val="28"/>
          <w:szCs w:val="28"/>
          <w:lang w:eastAsia="ru-RU"/>
        </w:rPr>
        <w:lastRenderedPageBreak/>
        <w:t xml:space="preserve">Эффективное управление ресурсным обеспечением способствует стабилизации региональной экономики в условиях неопределенности. </w:t>
      </w:r>
    </w:p>
    <w:tbl>
      <w:tblPr>
        <w:tblStyle w:val="a3"/>
        <w:tblW w:w="4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8663"/>
      </w:tblGrid>
      <w:tr w:rsidR="000C0181" w:rsidRPr="000C0181" w:rsidTr="002D53BD">
        <w:trPr>
          <w:jc w:val="center"/>
        </w:trPr>
        <w:tc>
          <w:tcPr>
            <w:tcW w:w="5000" w:type="pct"/>
            <w:gridSpan w:val="2"/>
          </w:tcPr>
          <w:p w:rsidR="000C0181" w:rsidRPr="000C0181" w:rsidRDefault="000C0181" w:rsidP="000C0181">
            <w:pPr>
              <w:contextualSpacing/>
              <w:jc w:val="both"/>
              <w:rPr>
                <w:rFonts w:ascii="Times New Roman" w:eastAsia="Calibri" w:hAnsi="Times New Roman"/>
                <w:sz w:val="24"/>
                <w:szCs w:val="24"/>
              </w:rPr>
            </w:pPr>
          </w:p>
        </w:tc>
      </w:tr>
      <w:tr w:rsidR="000C0181" w:rsidRPr="000C0181" w:rsidTr="002D53BD">
        <w:trPr>
          <w:jc w:val="center"/>
        </w:trPr>
        <w:tc>
          <w:tcPr>
            <w:tcW w:w="5000" w:type="pct"/>
            <w:gridSpan w:val="2"/>
          </w:tcPr>
          <w:p w:rsidR="000C0181" w:rsidRPr="000C0181" w:rsidRDefault="000C0181" w:rsidP="000C0181">
            <w:pPr>
              <w:ind w:firstLine="709"/>
              <w:jc w:val="center"/>
              <w:rPr>
                <w:rFonts w:ascii="Times New Roman" w:hAnsi="Times New Roman"/>
                <w:b/>
                <w:sz w:val="28"/>
                <w:szCs w:val="28"/>
              </w:rPr>
            </w:pPr>
            <w:r w:rsidRPr="000C0181">
              <w:rPr>
                <w:rFonts w:ascii="Times New Roman" w:hAnsi="Times New Roman"/>
                <w:b/>
                <w:sz w:val="28"/>
                <w:szCs w:val="28"/>
              </w:rPr>
              <w:t>Список литературы</w:t>
            </w:r>
          </w:p>
        </w:tc>
      </w:tr>
      <w:tr w:rsidR="000C0181" w:rsidRPr="000C0181" w:rsidTr="002D53BD">
        <w:trPr>
          <w:jc w:val="center"/>
        </w:trPr>
        <w:tc>
          <w:tcPr>
            <w:tcW w:w="293" w:type="pct"/>
          </w:tcPr>
          <w:p w:rsidR="000C0181" w:rsidRPr="000C0181" w:rsidRDefault="000C0181" w:rsidP="000C0181">
            <w:pPr>
              <w:widowControl w:val="0"/>
              <w:numPr>
                <w:ilvl w:val="0"/>
                <w:numId w:val="1"/>
              </w:numPr>
              <w:contextualSpacing/>
              <w:jc w:val="both"/>
              <w:rPr>
                <w:rFonts w:ascii="Times New Roman" w:eastAsia="Calibri" w:hAnsi="Times New Roman"/>
                <w:sz w:val="24"/>
                <w:szCs w:val="24"/>
                <w:lang w:val="uk-UA"/>
              </w:rPr>
            </w:pPr>
          </w:p>
        </w:tc>
        <w:tc>
          <w:tcPr>
            <w:tcW w:w="4707" w:type="pct"/>
          </w:tcPr>
          <w:p w:rsidR="000C0181" w:rsidRPr="000C0181" w:rsidRDefault="000C0181" w:rsidP="000C0181">
            <w:pPr>
              <w:jc w:val="both"/>
              <w:rPr>
                <w:rFonts w:ascii="Times New Roman" w:hAnsi="Times New Roman"/>
                <w:sz w:val="24"/>
                <w:szCs w:val="24"/>
                <w:lang w:val="uk-UA"/>
              </w:rPr>
            </w:pPr>
            <w:r w:rsidRPr="000C0181">
              <w:rPr>
                <w:rFonts w:ascii="Times New Roman" w:hAnsi="Times New Roman"/>
                <w:sz w:val="24"/>
                <w:szCs w:val="24"/>
                <w:lang w:val="uk-UA"/>
              </w:rPr>
              <w:t>Скаленко О.О. Глобальні резерви поступу:/ О.О. Скаленко.- М. – Київ: Основи. -2010. – 176 с.</w:t>
            </w:r>
          </w:p>
        </w:tc>
      </w:tr>
      <w:tr w:rsidR="000C0181" w:rsidRPr="000C0181" w:rsidTr="002D53BD">
        <w:trPr>
          <w:jc w:val="center"/>
        </w:trPr>
        <w:tc>
          <w:tcPr>
            <w:tcW w:w="293" w:type="pct"/>
          </w:tcPr>
          <w:p w:rsidR="000C0181" w:rsidRPr="000C0181" w:rsidRDefault="000C0181" w:rsidP="000C0181">
            <w:pPr>
              <w:widowControl w:val="0"/>
              <w:numPr>
                <w:ilvl w:val="0"/>
                <w:numId w:val="1"/>
              </w:numPr>
              <w:contextualSpacing/>
              <w:jc w:val="both"/>
              <w:rPr>
                <w:rFonts w:ascii="Times New Roman" w:eastAsia="Calibri" w:hAnsi="Times New Roman"/>
                <w:sz w:val="24"/>
                <w:szCs w:val="24"/>
              </w:rPr>
            </w:pPr>
          </w:p>
        </w:tc>
        <w:tc>
          <w:tcPr>
            <w:tcW w:w="4707" w:type="pct"/>
          </w:tcPr>
          <w:p w:rsidR="000C0181" w:rsidRPr="000C0181" w:rsidRDefault="000C0181" w:rsidP="000C0181">
            <w:pPr>
              <w:jc w:val="both"/>
              <w:rPr>
                <w:rFonts w:ascii="Times New Roman" w:hAnsi="Times New Roman"/>
                <w:sz w:val="24"/>
                <w:szCs w:val="24"/>
              </w:rPr>
            </w:pPr>
            <w:r w:rsidRPr="000C0181">
              <w:rPr>
                <w:rFonts w:ascii="Times New Roman" w:hAnsi="Times New Roman"/>
                <w:sz w:val="24"/>
                <w:szCs w:val="24"/>
              </w:rPr>
              <w:t>Васильченко В.А. Менеджмент устойчивого развития предприятий/ В.А. Василенко. – М. – Киев: Центр учебной литературы, 2014. – 83 с.</w:t>
            </w:r>
          </w:p>
        </w:tc>
      </w:tr>
      <w:tr w:rsidR="000C0181" w:rsidRPr="000C0181" w:rsidTr="002D53BD">
        <w:trPr>
          <w:jc w:val="center"/>
        </w:trPr>
        <w:tc>
          <w:tcPr>
            <w:tcW w:w="293" w:type="pct"/>
          </w:tcPr>
          <w:p w:rsidR="000C0181" w:rsidRPr="000C0181" w:rsidRDefault="000C0181" w:rsidP="000C0181">
            <w:pPr>
              <w:widowControl w:val="0"/>
              <w:numPr>
                <w:ilvl w:val="0"/>
                <w:numId w:val="1"/>
              </w:numPr>
              <w:contextualSpacing/>
              <w:jc w:val="both"/>
              <w:rPr>
                <w:rFonts w:ascii="Times New Roman" w:eastAsia="Calibri" w:hAnsi="Times New Roman"/>
                <w:sz w:val="24"/>
                <w:szCs w:val="24"/>
                <w:lang w:val="uk-UA"/>
              </w:rPr>
            </w:pPr>
          </w:p>
        </w:tc>
        <w:tc>
          <w:tcPr>
            <w:tcW w:w="4707" w:type="pct"/>
          </w:tcPr>
          <w:p w:rsidR="000C0181" w:rsidRPr="000C0181" w:rsidRDefault="000C0181" w:rsidP="000C0181">
            <w:pPr>
              <w:jc w:val="both"/>
              <w:rPr>
                <w:rFonts w:ascii="Times New Roman" w:hAnsi="Times New Roman"/>
                <w:sz w:val="24"/>
                <w:szCs w:val="24"/>
                <w:lang w:val="uk-UA"/>
              </w:rPr>
            </w:pPr>
            <w:r w:rsidRPr="000C0181">
              <w:rPr>
                <w:rFonts w:ascii="Times New Roman" w:hAnsi="Times New Roman"/>
                <w:sz w:val="24"/>
                <w:szCs w:val="24"/>
                <w:lang w:val="uk-UA"/>
              </w:rPr>
              <w:t>Балабанова І.В. Управління конкурентною раціональністю: монографія / І.В. Балабанова. 1– Донецьк : Донецький національний університет, 2013 – 458 с.</w:t>
            </w:r>
          </w:p>
        </w:tc>
      </w:tr>
      <w:tr w:rsidR="000C0181" w:rsidRPr="000C0181" w:rsidTr="002D53BD">
        <w:trPr>
          <w:jc w:val="center"/>
        </w:trPr>
        <w:tc>
          <w:tcPr>
            <w:tcW w:w="293" w:type="pct"/>
          </w:tcPr>
          <w:p w:rsidR="000C0181" w:rsidRPr="000C0181" w:rsidRDefault="000C0181" w:rsidP="000C0181">
            <w:pPr>
              <w:widowControl w:val="0"/>
              <w:numPr>
                <w:ilvl w:val="0"/>
                <w:numId w:val="1"/>
              </w:numPr>
              <w:contextualSpacing/>
              <w:jc w:val="both"/>
              <w:rPr>
                <w:rFonts w:ascii="Times New Roman" w:eastAsia="Calibri" w:hAnsi="Times New Roman"/>
                <w:sz w:val="24"/>
                <w:szCs w:val="24"/>
                <w:lang w:val="uk-UA"/>
              </w:rPr>
            </w:pPr>
          </w:p>
        </w:tc>
        <w:tc>
          <w:tcPr>
            <w:tcW w:w="4707" w:type="pct"/>
          </w:tcPr>
          <w:p w:rsidR="000C0181" w:rsidRPr="000C0181" w:rsidRDefault="000C0181" w:rsidP="000C0181">
            <w:pPr>
              <w:jc w:val="both"/>
              <w:rPr>
                <w:rFonts w:ascii="Times New Roman" w:hAnsi="Times New Roman"/>
                <w:sz w:val="24"/>
                <w:szCs w:val="24"/>
                <w:lang w:val="uk-UA"/>
              </w:rPr>
            </w:pPr>
            <w:r w:rsidRPr="000C0181">
              <w:rPr>
                <w:rFonts w:ascii="Times New Roman" w:hAnsi="Times New Roman"/>
                <w:sz w:val="24"/>
                <w:szCs w:val="24"/>
                <w:lang w:val="uk-UA"/>
              </w:rPr>
              <w:t>Коваль Я. В. Регіональна економіка / Я. В. Коваль, І. Я. Антоненко. – К. : РВПС України НАН України, 2010. – 189 с.</w:t>
            </w:r>
          </w:p>
        </w:tc>
      </w:tr>
      <w:tr w:rsidR="000C0181" w:rsidRPr="000C0181" w:rsidTr="002D53BD">
        <w:trPr>
          <w:jc w:val="center"/>
        </w:trPr>
        <w:tc>
          <w:tcPr>
            <w:tcW w:w="293" w:type="pct"/>
          </w:tcPr>
          <w:p w:rsidR="000C0181" w:rsidRPr="000C0181" w:rsidRDefault="000C0181" w:rsidP="000C0181">
            <w:pPr>
              <w:widowControl w:val="0"/>
              <w:numPr>
                <w:ilvl w:val="0"/>
                <w:numId w:val="1"/>
              </w:numPr>
              <w:contextualSpacing/>
              <w:jc w:val="both"/>
              <w:rPr>
                <w:rFonts w:ascii="Times New Roman" w:eastAsia="Calibri" w:hAnsi="Times New Roman"/>
                <w:sz w:val="24"/>
                <w:szCs w:val="24"/>
                <w:lang w:val="uk-UA"/>
              </w:rPr>
            </w:pPr>
          </w:p>
        </w:tc>
        <w:tc>
          <w:tcPr>
            <w:tcW w:w="4707" w:type="pct"/>
          </w:tcPr>
          <w:p w:rsidR="000C0181" w:rsidRPr="000C0181" w:rsidRDefault="000C0181" w:rsidP="000C0181">
            <w:pPr>
              <w:jc w:val="both"/>
              <w:rPr>
                <w:rFonts w:ascii="Times New Roman" w:hAnsi="Times New Roman"/>
                <w:sz w:val="24"/>
                <w:szCs w:val="24"/>
                <w:lang w:val="uk-UA"/>
              </w:rPr>
            </w:pPr>
            <w:r w:rsidRPr="000C0181">
              <w:rPr>
                <w:rFonts w:ascii="Times New Roman" w:hAnsi="Times New Roman"/>
                <w:sz w:val="24"/>
                <w:szCs w:val="24"/>
                <w:lang w:val="uk-UA"/>
              </w:rPr>
              <w:t>Петкова Л. О. Теоретико-методологічні засади економічного зростання в Україні (регіональні аспекти) : автореф. дис. … на здоб. наук. ступеня д-ра екон. наук : спец. 08.10.10 / Л. О. Петкова. – К., 2012. – 40 с.</w:t>
            </w:r>
          </w:p>
        </w:tc>
      </w:tr>
    </w:tbl>
    <w:p w:rsidR="00410842" w:rsidRDefault="00410842">
      <w:bookmarkStart w:id="3" w:name="_GoBack"/>
      <w:bookmarkEnd w:id="3"/>
    </w:p>
    <w:sectPr w:rsidR="004108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742"/>
    <w:multiLevelType w:val="hybridMultilevel"/>
    <w:tmpl w:val="FAB6E614"/>
    <w:lvl w:ilvl="0" w:tplc="3FD2AF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81"/>
    <w:rsid w:val="000C0181"/>
    <w:rsid w:val="00410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00F74-46B0-425E-AD51-404CFC6D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018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2141</Words>
  <Characters>12207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2018-09-22T07:15:00Z</dcterms:created>
  <dcterms:modified xsi:type="dcterms:W3CDTF">2018-09-22T07:16:00Z</dcterms:modified>
</cp:coreProperties>
</file>