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84"/>
      </w:tblGrid>
      <w:tr w:rsidR="00E10334" w:rsidRPr="00E10334" w:rsidTr="00B2348C">
        <w:tc>
          <w:tcPr>
            <w:tcW w:w="9356" w:type="dxa"/>
            <w:gridSpan w:val="2"/>
            <w:hideMark/>
          </w:tcPr>
          <w:p w:rsidR="00E10334" w:rsidRPr="00E10334" w:rsidRDefault="00E10334" w:rsidP="00E10334">
            <w:pPr>
              <w:widowControl w:val="0"/>
              <w:jc w:val="both"/>
              <w:rPr>
                <w:rFonts w:ascii="Times New Roman" w:hAnsi="Times New Roman"/>
                <w:b/>
                <w:sz w:val="28"/>
              </w:rPr>
            </w:pPr>
            <w:r w:rsidRPr="00E10334">
              <w:rPr>
                <w:rFonts w:ascii="Times New Roman" w:hAnsi="Times New Roman"/>
                <w:b/>
                <w:sz w:val="28"/>
              </w:rPr>
              <w:t xml:space="preserve">УДК </w:t>
            </w:r>
            <w:r w:rsidRPr="00E10334">
              <w:rPr>
                <w:rFonts w:ascii="Times New Roman" w:hAnsi="Times New Roman"/>
                <w:b/>
                <w:bCs/>
                <w:sz w:val="28"/>
                <w:szCs w:val="28"/>
              </w:rPr>
              <w:t>338</w:t>
            </w:r>
          </w:p>
        </w:tc>
      </w:tr>
      <w:tr w:rsidR="00E10334" w:rsidRPr="00E10334" w:rsidTr="00B2348C">
        <w:tc>
          <w:tcPr>
            <w:tcW w:w="9356" w:type="dxa"/>
            <w:gridSpan w:val="2"/>
            <w:hideMark/>
          </w:tcPr>
          <w:p w:rsidR="00E10334" w:rsidRPr="00E10334" w:rsidRDefault="00E10334" w:rsidP="00E10334">
            <w:pPr>
              <w:widowControl w:val="0"/>
              <w:jc w:val="center"/>
              <w:outlineLvl w:val="0"/>
              <w:rPr>
                <w:rFonts w:ascii="Times New Roman" w:hAnsi="Times New Roman"/>
                <w:b/>
                <w:bCs/>
                <w:sz w:val="28"/>
                <w:szCs w:val="28"/>
              </w:rPr>
            </w:pPr>
            <w:bookmarkStart w:id="0" w:name="_Toc480490833"/>
            <w:bookmarkStart w:id="1" w:name="_Toc480537055"/>
            <w:r w:rsidRPr="00E10334">
              <w:rPr>
                <w:rFonts w:ascii="Times New Roman" w:hAnsi="Times New Roman"/>
                <w:b/>
                <w:bCs/>
                <w:sz w:val="28"/>
                <w:szCs w:val="28"/>
              </w:rPr>
              <w:t>РЕСУРСНОЕ ОБЕСПЕЧЕНИЕ ПРЕДПРИЯТИЙ МУКОМОЛЬНОЙ ОТРАСЛИ</w:t>
            </w:r>
            <w:bookmarkEnd w:id="0"/>
            <w:bookmarkEnd w:id="1"/>
          </w:p>
        </w:tc>
      </w:tr>
      <w:tr w:rsidR="00E10334" w:rsidRPr="00E10334" w:rsidTr="00B2348C">
        <w:tc>
          <w:tcPr>
            <w:tcW w:w="4677" w:type="dxa"/>
          </w:tcPr>
          <w:p w:rsidR="00E10334" w:rsidRPr="00E10334" w:rsidRDefault="00E10334" w:rsidP="00E10334">
            <w:pPr>
              <w:widowControl w:val="0"/>
              <w:jc w:val="right"/>
              <w:rPr>
                <w:rFonts w:ascii="Times New Roman" w:hAnsi="Times New Roman"/>
                <w:sz w:val="28"/>
                <w:szCs w:val="28"/>
              </w:rPr>
            </w:pPr>
          </w:p>
        </w:tc>
        <w:tc>
          <w:tcPr>
            <w:tcW w:w="4679" w:type="dxa"/>
          </w:tcPr>
          <w:p w:rsidR="00E10334" w:rsidRPr="00E10334" w:rsidRDefault="00E10334" w:rsidP="00E10334">
            <w:pPr>
              <w:widowControl w:val="0"/>
              <w:jc w:val="right"/>
              <w:rPr>
                <w:rFonts w:ascii="Times New Roman" w:hAnsi="Times New Roman"/>
                <w:sz w:val="28"/>
                <w:szCs w:val="28"/>
              </w:rPr>
            </w:pPr>
          </w:p>
        </w:tc>
      </w:tr>
      <w:tr w:rsidR="00E10334" w:rsidRPr="00E10334" w:rsidTr="00B2348C">
        <w:tc>
          <w:tcPr>
            <w:tcW w:w="4677" w:type="dxa"/>
          </w:tcPr>
          <w:p w:rsidR="00E10334" w:rsidRPr="00E10334" w:rsidRDefault="00E10334" w:rsidP="00E10334">
            <w:pPr>
              <w:widowControl w:val="0"/>
              <w:jc w:val="center"/>
              <w:outlineLvl w:val="0"/>
              <w:rPr>
                <w:rFonts w:ascii="Times New Roman" w:hAnsi="Times New Roman"/>
                <w:b/>
                <w:bCs/>
                <w:sz w:val="28"/>
                <w:szCs w:val="28"/>
              </w:rPr>
            </w:pPr>
          </w:p>
        </w:tc>
        <w:tc>
          <w:tcPr>
            <w:tcW w:w="4679" w:type="dxa"/>
            <w:hideMark/>
          </w:tcPr>
          <w:p w:rsidR="00E10334" w:rsidRPr="00E10334" w:rsidRDefault="00E10334" w:rsidP="00E10334">
            <w:pPr>
              <w:widowControl w:val="0"/>
              <w:shd w:val="clear" w:color="auto" w:fill="FFFFFF"/>
              <w:rPr>
                <w:rFonts w:ascii="Times New Roman" w:hAnsi="Times New Roman"/>
                <w:b/>
                <w:sz w:val="28"/>
                <w:szCs w:val="28"/>
              </w:rPr>
            </w:pPr>
            <w:bookmarkStart w:id="2" w:name="_Toc480490834"/>
            <w:bookmarkStart w:id="3" w:name="_Toc480537056"/>
            <w:r w:rsidRPr="00E10334">
              <w:rPr>
                <w:rFonts w:ascii="Times New Roman" w:hAnsi="Times New Roman"/>
                <w:b/>
                <w:bCs/>
                <w:sz w:val="28"/>
                <w:szCs w:val="26"/>
              </w:rPr>
              <w:t>Л.А. Булат</w:t>
            </w:r>
            <w:bookmarkEnd w:id="2"/>
            <w:bookmarkEnd w:id="3"/>
          </w:p>
          <w:p w:rsidR="00E10334" w:rsidRPr="00E10334" w:rsidRDefault="00E10334" w:rsidP="00E10334">
            <w:pPr>
              <w:widowControl w:val="0"/>
              <w:shd w:val="clear" w:color="auto" w:fill="FFFFFF"/>
              <w:rPr>
                <w:rFonts w:ascii="Times New Roman" w:hAnsi="Times New Roman"/>
                <w:i/>
                <w:sz w:val="28"/>
                <w:szCs w:val="28"/>
              </w:rPr>
            </w:pPr>
            <w:r w:rsidRPr="00E10334">
              <w:rPr>
                <w:rFonts w:ascii="Times New Roman" w:hAnsi="Times New Roman"/>
                <w:i/>
                <w:sz w:val="28"/>
                <w:szCs w:val="28"/>
              </w:rPr>
              <w:t>Донецкий национальный технический университет</w:t>
            </w:r>
          </w:p>
          <w:p w:rsidR="00E10334" w:rsidRPr="00E10334" w:rsidRDefault="00E10334" w:rsidP="00E10334">
            <w:pPr>
              <w:widowControl w:val="0"/>
              <w:shd w:val="clear" w:color="auto" w:fill="FFFFFF"/>
              <w:rPr>
                <w:rFonts w:ascii="Times New Roman" w:hAnsi="Times New Roman"/>
                <w:sz w:val="28"/>
              </w:rPr>
            </w:pPr>
            <w:r w:rsidRPr="00E10334">
              <w:rPr>
                <w:rFonts w:ascii="Times New Roman" w:hAnsi="Times New Roman"/>
                <w:i/>
                <w:sz w:val="28"/>
                <w:szCs w:val="28"/>
              </w:rPr>
              <w:t xml:space="preserve">г. Донецк, Донецкая Народная Республика </w:t>
            </w:r>
          </w:p>
        </w:tc>
      </w:tr>
    </w:tbl>
    <w:p w:rsidR="00E10334" w:rsidRPr="00E10334" w:rsidRDefault="00E10334" w:rsidP="00E10334">
      <w:pPr>
        <w:widowControl w:val="0"/>
        <w:spacing w:after="0" w:line="240" w:lineRule="auto"/>
        <w:ind w:left="-540" w:right="355" w:firstLine="709"/>
        <w:rPr>
          <w:rFonts w:ascii="Times New Roman" w:eastAsia="Times New Roman" w:hAnsi="Times New Roman" w:cs="Times New Roman"/>
          <w:sz w:val="28"/>
          <w:lang w:eastAsia="ru-RU"/>
        </w:rPr>
      </w:pPr>
    </w:p>
    <w:p w:rsidR="00E10334" w:rsidRPr="00E10334" w:rsidRDefault="00E10334" w:rsidP="00E10334">
      <w:pPr>
        <w:widowControl w:val="0"/>
        <w:spacing w:after="0" w:line="240" w:lineRule="auto"/>
        <w:ind w:firstLine="709"/>
        <w:jc w:val="both"/>
        <w:rPr>
          <w:rFonts w:ascii="Times New Roman" w:eastAsia="Times New Roman" w:hAnsi="Times New Roman" w:cs="Times New Roman"/>
          <w:i/>
          <w:sz w:val="28"/>
          <w:szCs w:val="28"/>
          <w:lang w:eastAsia="ru-RU"/>
        </w:rPr>
      </w:pPr>
      <w:r w:rsidRPr="00E10334">
        <w:rPr>
          <w:rFonts w:ascii="Times New Roman" w:eastAsia="Times New Roman" w:hAnsi="Times New Roman" w:cs="Times New Roman"/>
          <w:i/>
          <w:sz w:val="28"/>
          <w:szCs w:val="28"/>
          <w:lang w:eastAsia="ru-RU"/>
        </w:rPr>
        <w:t>Аннотация. В статье рассмотрены некоторые аспекты исследования эффективного использования ресурсов мукомольных предприятий, что является одним из главных условий обеспечения конкурентоспособности предприятий в рыночных условиях. Проанализировано современное состояние на зерноперерабатывающих предприятиях Донецкой Народной Республики. Указаны основные направления государственного регулирования мукомольной отрасли.</w:t>
      </w:r>
    </w:p>
    <w:p w:rsidR="00E10334" w:rsidRPr="00E10334" w:rsidRDefault="00E10334" w:rsidP="00E10334">
      <w:pPr>
        <w:widowControl w:val="0"/>
        <w:spacing w:after="0" w:line="240" w:lineRule="auto"/>
        <w:ind w:firstLine="709"/>
        <w:jc w:val="both"/>
        <w:rPr>
          <w:rFonts w:ascii="Times New Roman" w:eastAsia="Times New Roman" w:hAnsi="Times New Roman" w:cs="Times New Roman"/>
          <w:i/>
          <w:sz w:val="28"/>
          <w:szCs w:val="28"/>
          <w:lang w:eastAsia="ru-RU"/>
        </w:rPr>
      </w:pPr>
      <w:r w:rsidRPr="00E10334">
        <w:rPr>
          <w:rFonts w:ascii="Times New Roman" w:eastAsia="Times New Roman" w:hAnsi="Times New Roman" w:cs="Times New Roman"/>
          <w:i/>
          <w:sz w:val="28"/>
          <w:szCs w:val="28"/>
          <w:lang w:eastAsia="ru-RU"/>
        </w:rPr>
        <w:t>Ключевые слова: агропромышленный комплекс, ресурсы мукомольных предприятий, нормы потребления, продовольственная безопасность.</w:t>
      </w:r>
    </w:p>
    <w:p w:rsidR="00E10334" w:rsidRPr="00E10334" w:rsidRDefault="00E10334" w:rsidP="00E10334">
      <w:pPr>
        <w:widowControl w:val="0"/>
        <w:spacing w:after="0" w:line="240" w:lineRule="auto"/>
        <w:ind w:firstLine="709"/>
        <w:jc w:val="both"/>
        <w:rPr>
          <w:rFonts w:ascii="Times New Roman" w:eastAsia="Times New Roman" w:hAnsi="Times New Roman" w:cs="Times New Roman"/>
          <w:i/>
          <w:sz w:val="28"/>
          <w:szCs w:val="28"/>
          <w:lang w:eastAsia="ru-RU"/>
        </w:rPr>
      </w:pPr>
    </w:p>
    <w:p w:rsidR="00E10334" w:rsidRPr="00E10334" w:rsidRDefault="00E10334" w:rsidP="00E10334">
      <w:pPr>
        <w:widowControl w:val="0"/>
        <w:spacing w:after="0" w:line="240" w:lineRule="auto"/>
        <w:ind w:firstLine="709"/>
        <w:jc w:val="both"/>
        <w:rPr>
          <w:rFonts w:ascii="Times New Roman" w:eastAsia="Times New Roman" w:hAnsi="Times New Roman" w:cs="Times New Roman"/>
          <w:i/>
          <w:sz w:val="28"/>
          <w:szCs w:val="28"/>
          <w:lang w:val="en-US" w:eastAsia="ru-RU"/>
        </w:rPr>
      </w:pPr>
      <w:r w:rsidRPr="00E10334">
        <w:rPr>
          <w:rFonts w:ascii="Times New Roman" w:eastAsia="Times New Roman" w:hAnsi="Times New Roman" w:cs="Times New Roman"/>
          <w:i/>
          <w:sz w:val="28"/>
          <w:szCs w:val="28"/>
          <w:lang w:val="en-US" w:eastAsia="ru-RU"/>
        </w:rPr>
        <w:t>Summary. The article considers some aspects of research efficient use of resources mills, which is one of the main conditions of competitiveness of enterprises in market conditions. Analyzes the current state at the grain processing enterprises of the Donetsk people's Republic. Indicate the main directions of state regulation of the milling industry.</w:t>
      </w:r>
    </w:p>
    <w:p w:rsidR="00E10334" w:rsidRPr="00E10334" w:rsidRDefault="00E10334" w:rsidP="00E10334">
      <w:pPr>
        <w:widowControl w:val="0"/>
        <w:spacing w:after="0" w:line="240" w:lineRule="auto"/>
        <w:ind w:firstLine="709"/>
        <w:rPr>
          <w:rFonts w:ascii="Times New Roman" w:eastAsia="Times New Roman" w:hAnsi="Times New Roman" w:cs="Times New Roman"/>
          <w:i/>
          <w:sz w:val="28"/>
          <w:szCs w:val="28"/>
          <w:lang w:val="en-US" w:eastAsia="ru-RU"/>
        </w:rPr>
      </w:pPr>
      <w:r w:rsidRPr="00E10334">
        <w:rPr>
          <w:rFonts w:ascii="Times New Roman" w:eastAsia="Times New Roman" w:hAnsi="Times New Roman" w:cs="Times New Roman"/>
          <w:i/>
          <w:sz w:val="28"/>
          <w:szCs w:val="28"/>
          <w:lang w:val="en-US" w:eastAsia="ru-RU"/>
        </w:rPr>
        <w:t>Keywords: agriculture, resources, mills, consumption, food security</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lang w:eastAsia="ru-RU"/>
        </w:rPr>
      </w:pPr>
      <w:r w:rsidRPr="00E10334">
        <w:rPr>
          <w:rFonts w:ascii="Times New Roman" w:eastAsia="Times New Roman" w:hAnsi="Times New Roman" w:cs="Times New Roman"/>
          <w:b/>
          <w:sz w:val="28"/>
          <w:szCs w:val="28"/>
          <w:lang w:eastAsia="ru-RU"/>
        </w:rPr>
        <w:t xml:space="preserve">Постановка проблемы. </w:t>
      </w:r>
      <w:r w:rsidRPr="00E10334">
        <w:rPr>
          <w:rFonts w:ascii="Times New Roman" w:eastAsia="Times New Roman" w:hAnsi="Times New Roman" w:cs="Times New Roman"/>
          <w:sz w:val="28"/>
          <w:szCs w:val="28"/>
          <w:lang w:eastAsia="ru-RU"/>
        </w:rPr>
        <w:t xml:space="preserve">Зерноперерабатывающая промышленность представляет собой ключевую отрасль экономики, в значительной мере влияющую на развитие сельских территорий, на формирование агропродовольственного рынка и регионального бюджета. Изменение объёмов производства на предприятиях отрасли приводит к снижению обеспеченности экономики стратегически важной продукцией, а населения </w:t>
      </w:r>
      <w:r w:rsidRPr="00E10334">
        <w:rPr>
          <w:rFonts w:ascii="Times New Roman" w:eastAsia="TimesNewRoman" w:hAnsi="Times New Roman" w:cs="Times New Roman"/>
          <w:sz w:val="28"/>
          <w:szCs w:val="28"/>
          <w:lang w:eastAsia="ru-RU"/>
        </w:rPr>
        <w:t>–</w:t>
      </w:r>
      <w:r w:rsidRPr="00E10334">
        <w:rPr>
          <w:rFonts w:ascii="Times New Roman" w:eastAsia="Times New Roman" w:hAnsi="Times New Roman" w:cs="Times New Roman"/>
          <w:sz w:val="28"/>
          <w:szCs w:val="28"/>
          <w:lang w:eastAsia="ru-RU"/>
        </w:rPr>
        <w:t xml:space="preserve"> продуктами питания, и в итоге </w:t>
      </w:r>
      <w:r w:rsidRPr="00E10334">
        <w:rPr>
          <w:rFonts w:ascii="Times New Roman" w:eastAsia="TimesNewRoman" w:hAnsi="Times New Roman" w:cs="Times New Roman"/>
          <w:sz w:val="28"/>
          <w:szCs w:val="28"/>
          <w:lang w:eastAsia="ru-RU"/>
        </w:rPr>
        <w:t xml:space="preserve">– </w:t>
      </w:r>
      <w:r w:rsidRPr="00E10334">
        <w:rPr>
          <w:rFonts w:ascii="Times New Roman" w:eastAsia="Times New Roman" w:hAnsi="Times New Roman" w:cs="Times New Roman"/>
          <w:sz w:val="28"/>
          <w:szCs w:val="28"/>
          <w:lang w:eastAsia="ru-RU"/>
        </w:rPr>
        <w:t>продовольственной безопасности Республики.</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Недостаточность сырьевой базы, рост цен на муку, снижение качества поставляемого сырья, недозагрузка мощностей, потребность в техническом обновлении </w:t>
      </w:r>
      <w:r w:rsidRPr="00E10334">
        <w:rPr>
          <w:rFonts w:ascii="Times New Roman" w:eastAsia="TimesNewRoman" w:hAnsi="Times New Roman" w:cs="Times New Roman"/>
          <w:sz w:val="28"/>
          <w:szCs w:val="28"/>
          <w:lang w:eastAsia="ru-RU"/>
        </w:rPr>
        <w:t>–</w:t>
      </w:r>
      <w:r w:rsidRPr="00E10334">
        <w:rPr>
          <w:rFonts w:ascii="Times New Roman" w:eastAsia="Times New Roman" w:hAnsi="Times New Roman" w:cs="Times New Roman"/>
          <w:sz w:val="28"/>
          <w:szCs w:val="28"/>
          <w:lang w:eastAsia="ru-RU"/>
        </w:rPr>
        <w:t xml:space="preserve"> это те тенденции и реалии, которые должны учитывать зерноперерабатывающие предприятия при развитии своей деятельности. </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Реализация программ развития сельского хозяйства и регулирования рынков сельскохозяйственной продукции, сырья и продовольствия не решает всех многочисленных проблем функционирования зернового хозяйства и рынка зерна. </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lang w:eastAsia="ru-RU"/>
        </w:rPr>
      </w:pPr>
      <w:r w:rsidRPr="00E10334">
        <w:rPr>
          <w:rFonts w:ascii="Times New Roman" w:eastAsia="Times New Roman" w:hAnsi="Times New Roman" w:cs="Times New Roman"/>
          <w:sz w:val="28"/>
          <w:szCs w:val="28"/>
          <w:lang w:eastAsia="ru-RU"/>
        </w:rPr>
        <w:t xml:space="preserve">Но переход на законодательную основу государственной поддержки зерновой отрасли и регулирования зернового рынка создают относительную стабильность в экономических отношениях между сельскохозяйственными </w:t>
      </w:r>
      <w:r w:rsidRPr="00E10334">
        <w:rPr>
          <w:rFonts w:ascii="Times New Roman" w:eastAsia="Times New Roman" w:hAnsi="Times New Roman" w:cs="Times New Roman"/>
          <w:sz w:val="28"/>
          <w:szCs w:val="28"/>
          <w:lang w:eastAsia="ru-RU"/>
        </w:rPr>
        <w:lastRenderedPageBreak/>
        <w:t>товаропроизводителями, зерно-переработчиками и государством, ориентируют зерновое хозяйство на устойчивое развитие.</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b/>
          <w:sz w:val="28"/>
          <w:szCs w:val="28"/>
          <w:lang w:eastAsia="ru-RU"/>
        </w:rPr>
        <w:t xml:space="preserve">Анализ предыдущих исследований и публикаций. </w:t>
      </w:r>
      <w:r w:rsidRPr="00E10334">
        <w:rPr>
          <w:rFonts w:ascii="Times New Roman" w:eastAsia="Times New Roman" w:hAnsi="Times New Roman" w:cs="Times New Roman"/>
          <w:sz w:val="28"/>
          <w:szCs w:val="28"/>
          <w:lang w:eastAsia="ru-RU"/>
        </w:rPr>
        <w:t>Проблема развития и ресурсное обеспечение предприятий мукомольной отрасли исследовались в работах: А. А. Ермакова «Анализ процесса планирования и калькулирования себестоимости мукомольного производства», К.Н. Онищенко «Прогноз потребности АР Крым в зерне для производства хлебобулочной продукции в 2015 году».</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b/>
          <w:sz w:val="28"/>
          <w:szCs w:val="28"/>
          <w:lang w:eastAsia="ru-RU"/>
        </w:rPr>
        <w:t xml:space="preserve">Целью </w:t>
      </w:r>
      <w:r w:rsidRPr="00E10334">
        <w:rPr>
          <w:rFonts w:ascii="Times New Roman" w:eastAsia="Times New Roman" w:hAnsi="Times New Roman" w:cs="Times New Roman"/>
          <w:sz w:val="28"/>
          <w:szCs w:val="28"/>
          <w:lang w:eastAsia="ru-RU"/>
        </w:rPr>
        <w:t xml:space="preserve">исследования является необходимость обоснования и выработки актуальной концепции развития предприятий мукомольной промышленности на основе изыскания внутренних резервов и внешних инновационных источников </w:t>
      </w:r>
      <w:r w:rsidRPr="00E10334">
        <w:rPr>
          <w:rFonts w:ascii="Times New Roman" w:eastAsia="TimesNewRoman" w:hAnsi="Times New Roman" w:cs="Times New Roman"/>
          <w:sz w:val="28"/>
          <w:szCs w:val="28"/>
          <w:lang w:eastAsia="ru-RU"/>
        </w:rPr>
        <w:t>–</w:t>
      </w:r>
      <w:r w:rsidRPr="00E10334">
        <w:rPr>
          <w:rFonts w:ascii="Times New Roman" w:eastAsia="Times New Roman" w:hAnsi="Times New Roman" w:cs="Times New Roman"/>
          <w:sz w:val="28"/>
          <w:szCs w:val="28"/>
          <w:lang w:eastAsia="ru-RU"/>
        </w:rPr>
        <w:t xml:space="preserve"> государственно-частного партнёрства.</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10334">
        <w:rPr>
          <w:rFonts w:ascii="Times New Roman" w:eastAsia="Times New Roman" w:hAnsi="Times New Roman" w:cs="Times New Roman"/>
          <w:b/>
          <w:sz w:val="28"/>
          <w:szCs w:val="28"/>
          <w:lang w:eastAsia="ru-RU"/>
        </w:rPr>
        <w:t>Основные результаты исследования.</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Специфика мукомольных предприятий состоит в том, что в издержках производства до 80% приходится на сырье (зерно). На каждую тонну зерно-продукции расходуется 1,25 т зерна. На потребительском рынке зерна мукомольные предприятия выступают, с одной стороны, как потребители зерна, а с другой </w:t>
      </w:r>
      <w:r w:rsidRPr="00E10334">
        <w:rPr>
          <w:rFonts w:ascii="Times New Roman" w:eastAsia="TimesNewRoman" w:hAnsi="Times New Roman" w:cs="Times New Roman"/>
          <w:sz w:val="28"/>
          <w:szCs w:val="28"/>
          <w:lang w:eastAsia="ru-RU"/>
        </w:rPr>
        <w:t>–</w:t>
      </w:r>
      <w:r w:rsidRPr="00E10334">
        <w:rPr>
          <w:rFonts w:ascii="Times New Roman" w:eastAsia="Times New Roman" w:hAnsi="Times New Roman" w:cs="Times New Roman"/>
          <w:sz w:val="28"/>
          <w:szCs w:val="28"/>
          <w:lang w:eastAsia="ru-RU"/>
        </w:rPr>
        <w:t xml:space="preserve"> как продавцы зерно-продукции на рынке хлебопродуктов.</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Поэтому все изменения, связанные с деятельностью как сельскохозяйственных предприятий </w:t>
      </w:r>
      <w:r w:rsidRPr="00E10334">
        <w:rPr>
          <w:rFonts w:ascii="Times New Roman" w:eastAsia="TimesNewRoman" w:hAnsi="Times New Roman" w:cs="Times New Roman"/>
          <w:sz w:val="28"/>
          <w:szCs w:val="28"/>
          <w:lang w:eastAsia="ru-RU"/>
        </w:rPr>
        <w:t>–</w:t>
      </w:r>
      <w:r w:rsidRPr="00E10334">
        <w:rPr>
          <w:rFonts w:ascii="Times New Roman" w:eastAsia="Times New Roman" w:hAnsi="Times New Roman" w:cs="Times New Roman"/>
          <w:sz w:val="28"/>
          <w:szCs w:val="28"/>
          <w:lang w:eastAsia="ru-RU"/>
        </w:rPr>
        <w:t xml:space="preserve"> поставщиков зерна, так и предприятий системы хлебопродуктов, отражаются на эффективности производства мукомольных предприятий. Объемы производства муки на внутреннем рынке зависят от полного удовлетворения спроса региона в хлебобулочных изделиях и других продуктах (кондитерские изделия, макароны, крупы), при условии, что производимая продукция будет соответствовать покупательной способности жителей региона, включая тех, кто получает низкие пенсии и небольшую зарплату. </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Иначе говоря, цены хлебобулочных продуктов должны регулироваться государственными органами, обеспечивая статус государства с социально-ориентированной рыночной экономикой. </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В настоящее время мукомольная промышленность Донецкой Народной Республики находится в трудном положении. Из-за военных действий и заминированных полей сократилась возможность республиканского зернового производства обеспечивать качественным зерном мукомольные и крупяные предприятия, а в последующем и хлебозаводы стандартной мукой.</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Значительным фактором, влияющим на финансовую устойчивость мукомольной промышленности в Республике, является обеспеченность сырьём зерновой группы. Так, по состоянию на 1 января 2017 г., по данным Главного Управления Статистики Донецкой Народной Республики, остатки продовольственной пшеницы и зерна ржи составляют 102,762 тыс.т. (табл.1).</w:t>
      </w:r>
    </w:p>
    <w:p w:rsidR="00E10334" w:rsidRPr="00E10334" w:rsidRDefault="00E10334" w:rsidP="00E10334">
      <w:pPr>
        <w:widowControl w:val="0"/>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0334" w:rsidRPr="00E10334" w:rsidRDefault="00E10334" w:rsidP="00E10334">
      <w:pPr>
        <w:widowControl w:val="0"/>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Таблица 1</w:t>
      </w:r>
    </w:p>
    <w:p w:rsidR="00E10334" w:rsidRPr="00E10334" w:rsidRDefault="00E10334" w:rsidP="00E10334">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Остатки зерна, тонн</w:t>
      </w:r>
    </w:p>
    <w:tbl>
      <w:tblPr>
        <w:tblW w:w="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3201"/>
      </w:tblGrid>
      <w:tr w:rsidR="00E10334" w:rsidRPr="00E10334" w:rsidTr="00B2348C">
        <w:trPr>
          <w:trHeight w:val="258"/>
          <w:jc w:val="center"/>
        </w:trPr>
        <w:tc>
          <w:tcPr>
            <w:tcW w:w="2964"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Наименование</w:t>
            </w:r>
          </w:p>
        </w:tc>
        <w:tc>
          <w:tcPr>
            <w:tcW w:w="3201"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Количество</w:t>
            </w:r>
          </w:p>
        </w:tc>
      </w:tr>
      <w:tr w:rsidR="00E10334" w:rsidRPr="00E10334" w:rsidTr="00B2348C">
        <w:trPr>
          <w:trHeight w:val="359"/>
          <w:jc w:val="center"/>
        </w:trPr>
        <w:tc>
          <w:tcPr>
            <w:tcW w:w="2964"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Пшеница 2 класса</w:t>
            </w:r>
          </w:p>
        </w:tc>
        <w:tc>
          <w:tcPr>
            <w:tcW w:w="3201"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16 670</w:t>
            </w:r>
          </w:p>
        </w:tc>
      </w:tr>
      <w:tr w:rsidR="00E10334" w:rsidRPr="00E10334" w:rsidTr="00B2348C">
        <w:trPr>
          <w:trHeight w:val="359"/>
          <w:jc w:val="center"/>
        </w:trPr>
        <w:tc>
          <w:tcPr>
            <w:tcW w:w="2964"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lastRenderedPageBreak/>
              <w:t>Пшеница 3 класса</w:t>
            </w:r>
          </w:p>
        </w:tc>
        <w:tc>
          <w:tcPr>
            <w:tcW w:w="3201"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85 282</w:t>
            </w:r>
          </w:p>
        </w:tc>
      </w:tr>
      <w:tr w:rsidR="00E10334" w:rsidRPr="00E10334" w:rsidTr="00B2348C">
        <w:trPr>
          <w:trHeight w:val="359"/>
          <w:jc w:val="center"/>
        </w:trPr>
        <w:tc>
          <w:tcPr>
            <w:tcW w:w="2964"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Рожь</w:t>
            </w:r>
          </w:p>
        </w:tc>
        <w:tc>
          <w:tcPr>
            <w:tcW w:w="3201"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810</w:t>
            </w:r>
          </w:p>
        </w:tc>
      </w:tr>
      <w:tr w:rsidR="00E10334" w:rsidRPr="00E10334" w:rsidTr="00B2348C">
        <w:trPr>
          <w:trHeight w:val="359"/>
          <w:jc w:val="center"/>
        </w:trPr>
        <w:tc>
          <w:tcPr>
            <w:tcW w:w="2964"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Итого</w:t>
            </w:r>
          </w:p>
        </w:tc>
        <w:tc>
          <w:tcPr>
            <w:tcW w:w="3201"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102 762</w:t>
            </w:r>
          </w:p>
        </w:tc>
      </w:tr>
    </w:tbl>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Оценка спроса на хлебобулочные изделия определяется численностью населения и средней нормой потребления этой продукции. </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Для обеспечения хлебопродуктами (мукой, крупой, хлебобулочными изделиями) населения Республики произведён расчёт потребности согласно действующих норм потребления (Постановление Совета Министров Донецкой Народной Республики №10-40 от 03.06.2015 г.) и данных Главного Управления Статистики Донецкой Народной Республики (далее ГУС ДНР) о численности населения ДНР.</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Величина годовой потребности в зерне определена исходя из годовой</w:t>
      </w:r>
      <w:r w:rsidRPr="00E10334">
        <w:rPr>
          <w:rFonts w:ascii="Times New Roman" w:eastAsia="Times New Roman" w:hAnsi="Times New Roman" w:cs="Times New Roman"/>
          <w:sz w:val="28"/>
          <w:szCs w:val="28"/>
          <w:lang w:eastAsia="ru-RU"/>
        </w:rPr>
        <w:tab/>
        <w:t xml:space="preserve"> потребности на одного человека в хлебобулочных изделиях и в муке (табл.2).</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334" w:rsidRPr="00E10334" w:rsidRDefault="00E10334" w:rsidP="00E10334">
      <w:pPr>
        <w:widowControl w:val="0"/>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Таблица 2</w:t>
      </w:r>
    </w:p>
    <w:p w:rsidR="00E10334" w:rsidRPr="00E10334" w:rsidRDefault="00E10334" w:rsidP="00E10334">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Минимальный набор хлебопродуктов, килограмм/на одного человека в год</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1"/>
        <w:gridCol w:w="2754"/>
      </w:tblGrid>
      <w:tr w:rsidR="00E10334" w:rsidRPr="00E10334" w:rsidTr="00B2348C">
        <w:trPr>
          <w:trHeight w:val="400"/>
          <w:jc w:val="center"/>
        </w:trPr>
        <w:tc>
          <w:tcPr>
            <w:tcW w:w="3041"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Наименование</w:t>
            </w:r>
          </w:p>
        </w:tc>
        <w:tc>
          <w:tcPr>
            <w:tcW w:w="2754"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Количество</w:t>
            </w:r>
          </w:p>
        </w:tc>
      </w:tr>
      <w:tr w:rsidR="00E10334" w:rsidRPr="00E10334" w:rsidTr="00B2348C">
        <w:trPr>
          <w:trHeight w:val="359"/>
          <w:jc w:val="center"/>
        </w:trPr>
        <w:tc>
          <w:tcPr>
            <w:tcW w:w="3041"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Хлеб пшеничный</w:t>
            </w:r>
          </w:p>
        </w:tc>
        <w:tc>
          <w:tcPr>
            <w:tcW w:w="2754"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62</w:t>
            </w:r>
          </w:p>
        </w:tc>
      </w:tr>
      <w:tr w:rsidR="00E10334" w:rsidRPr="00E10334" w:rsidTr="00B2348C">
        <w:trPr>
          <w:trHeight w:val="359"/>
          <w:jc w:val="center"/>
        </w:trPr>
        <w:tc>
          <w:tcPr>
            <w:tcW w:w="3041"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Хлеб ржаной</w:t>
            </w:r>
          </w:p>
        </w:tc>
        <w:tc>
          <w:tcPr>
            <w:tcW w:w="2754"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38</w:t>
            </w:r>
          </w:p>
        </w:tc>
      </w:tr>
      <w:tr w:rsidR="00E10334" w:rsidRPr="00E10334" w:rsidTr="00B2348C">
        <w:trPr>
          <w:trHeight w:val="359"/>
          <w:jc w:val="center"/>
        </w:trPr>
        <w:tc>
          <w:tcPr>
            <w:tcW w:w="3041"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Итого хлеб</w:t>
            </w:r>
          </w:p>
        </w:tc>
        <w:tc>
          <w:tcPr>
            <w:tcW w:w="2754"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100</w:t>
            </w:r>
          </w:p>
        </w:tc>
      </w:tr>
      <w:tr w:rsidR="00E10334" w:rsidRPr="00E10334" w:rsidTr="00B2348C">
        <w:trPr>
          <w:trHeight w:val="359"/>
          <w:jc w:val="center"/>
        </w:trPr>
        <w:tc>
          <w:tcPr>
            <w:tcW w:w="3041"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Мука пшеничная</w:t>
            </w:r>
          </w:p>
        </w:tc>
        <w:tc>
          <w:tcPr>
            <w:tcW w:w="2754"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9</w:t>
            </w:r>
          </w:p>
        </w:tc>
      </w:tr>
    </w:tbl>
    <w:p w:rsidR="00E10334" w:rsidRPr="00E10334" w:rsidRDefault="00E10334" w:rsidP="00E10334">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При численности населения по данным ГУС ДНР 2 326 254 человек (по данным ГУ), потребность в: продовольственной пшенице 2-го и 3-го классов составит 177,125 тыс. т., ржи 71,122 тыс. т. (табл.3).</w:t>
      </w:r>
    </w:p>
    <w:p w:rsidR="00E10334" w:rsidRPr="00E10334" w:rsidRDefault="00E10334" w:rsidP="00E10334">
      <w:pPr>
        <w:widowControl w:val="0"/>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E10334" w:rsidRPr="00E10334" w:rsidRDefault="00E10334" w:rsidP="00E10334">
      <w:pPr>
        <w:widowControl w:val="0"/>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Таблица 3</w:t>
      </w:r>
    </w:p>
    <w:p w:rsidR="00E10334" w:rsidRPr="00E10334" w:rsidRDefault="00E10334" w:rsidP="00E10334">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Потребность в зерне, тонн</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835"/>
      </w:tblGrid>
      <w:tr w:rsidR="00E10334" w:rsidRPr="00E10334" w:rsidTr="00B2348C">
        <w:trPr>
          <w:trHeight w:val="400"/>
          <w:jc w:val="center"/>
        </w:trPr>
        <w:tc>
          <w:tcPr>
            <w:tcW w:w="2977"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Наименование</w:t>
            </w:r>
          </w:p>
        </w:tc>
        <w:tc>
          <w:tcPr>
            <w:tcW w:w="2835"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Количество</w:t>
            </w:r>
          </w:p>
        </w:tc>
      </w:tr>
      <w:tr w:rsidR="00E10334" w:rsidRPr="00E10334" w:rsidTr="00B2348C">
        <w:trPr>
          <w:trHeight w:val="359"/>
          <w:jc w:val="center"/>
        </w:trPr>
        <w:tc>
          <w:tcPr>
            <w:tcW w:w="2977"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Пшеница 2 класса</w:t>
            </w:r>
          </w:p>
        </w:tc>
        <w:tc>
          <w:tcPr>
            <w:tcW w:w="2835"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70 850</w:t>
            </w:r>
          </w:p>
        </w:tc>
      </w:tr>
      <w:tr w:rsidR="00E10334" w:rsidRPr="00E10334" w:rsidTr="00B2348C">
        <w:trPr>
          <w:trHeight w:val="359"/>
          <w:jc w:val="center"/>
        </w:trPr>
        <w:tc>
          <w:tcPr>
            <w:tcW w:w="2977"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Пшеница 3 класса</w:t>
            </w:r>
          </w:p>
        </w:tc>
        <w:tc>
          <w:tcPr>
            <w:tcW w:w="2835"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106 275</w:t>
            </w:r>
          </w:p>
        </w:tc>
      </w:tr>
      <w:tr w:rsidR="00E10334" w:rsidRPr="00E10334" w:rsidTr="00B2348C">
        <w:trPr>
          <w:trHeight w:val="359"/>
          <w:jc w:val="center"/>
        </w:trPr>
        <w:tc>
          <w:tcPr>
            <w:tcW w:w="2977"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Рожь</w:t>
            </w:r>
          </w:p>
        </w:tc>
        <w:tc>
          <w:tcPr>
            <w:tcW w:w="2835"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71 122</w:t>
            </w:r>
          </w:p>
        </w:tc>
      </w:tr>
      <w:tr w:rsidR="00E10334" w:rsidRPr="00E10334" w:rsidTr="00B2348C">
        <w:trPr>
          <w:trHeight w:val="359"/>
          <w:jc w:val="center"/>
        </w:trPr>
        <w:tc>
          <w:tcPr>
            <w:tcW w:w="2977" w:type="dxa"/>
            <w:vAlign w:val="center"/>
          </w:tcPr>
          <w:p w:rsidR="00E10334" w:rsidRPr="00E10334" w:rsidRDefault="00E10334" w:rsidP="00E10334">
            <w:pPr>
              <w:widowControl w:val="0"/>
              <w:spacing w:after="0" w:line="240" w:lineRule="auto"/>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Итого</w:t>
            </w:r>
          </w:p>
        </w:tc>
        <w:tc>
          <w:tcPr>
            <w:tcW w:w="2835" w:type="dxa"/>
            <w:vAlign w:val="center"/>
          </w:tcPr>
          <w:p w:rsidR="00E10334" w:rsidRPr="00E10334" w:rsidRDefault="00E10334" w:rsidP="00E10334">
            <w:pPr>
              <w:widowControl w:val="0"/>
              <w:spacing w:after="0" w:line="240" w:lineRule="auto"/>
              <w:jc w:val="center"/>
              <w:rPr>
                <w:rFonts w:ascii="Times New Roman" w:eastAsia="Times New Roman" w:hAnsi="Times New Roman" w:cs="Times New Roman"/>
                <w:sz w:val="24"/>
                <w:szCs w:val="24"/>
                <w:lang w:eastAsia="ru-RU"/>
              </w:rPr>
            </w:pPr>
            <w:r w:rsidRPr="00E10334">
              <w:rPr>
                <w:rFonts w:ascii="Times New Roman" w:eastAsia="Times New Roman" w:hAnsi="Times New Roman" w:cs="Times New Roman"/>
                <w:sz w:val="24"/>
                <w:szCs w:val="24"/>
                <w:lang w:eastAsia="ru-RU"/>
              </w:rPr>
              <w:t>248 247</w:t>
            </w:r>
          </w:p>
        </w:tc>
      </w:tr>
    </w:tbl>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Сопоставив данные по остаткам зерна с потребностью в нем, можно сделать вывод о том, что в настоящее время в Донецкой Народной Республике наблюдается дефицит продовольственного зерна и зерна ржи. </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На рисунке 1 наглядно представлена разница между потребностью в зерне и остатками, сложившимся по состоянию на 01.01.2017 г. Особенно остро наблюдается дефицит зерна ржи. Это связано с особенностями севооборота в регионе. Ранее рожь выращивали сельхозпроизводители на территории Луганской области.</w:t>
      </w:r>
    </w:p>
    <w:p w:rsidR="00E10334" w:rsidRPr="00E10334" w:rsidRDefault="00E10334" w:rsidP="00E10334">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E10334">
        <w:rPr>
          <w:rFonts w:ascii="Times New Roman" w:eastAsia="Times New Roman" w:hAnsi="Times New Roman" w:cs="Times New Roman"/>
          <w:noProof/>
          <w:sz w:val="28"/>
          <w:lang w:eastAsia="ru-RU"/>
        </w:rPr>
        <w:lastRenderedPageBreak/>
        <w:drawing>
          <wp:inline distT="0" distB="0" distL="0" distR="0" wp14:anchorId="0A9FE79A" wp14:editId="3384BA97">
            <wp:extent cx="6019800" cy="30194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10334" w:rsidRPr="00E10334" w:rsidRDefault="00E10334" w:rsidP="00E10334">
      <w:pPr>
        <w:widowControl w:val="0"/>
        <w:spacing w:after="0" w:line="240" w:lineRule="auto"/>
        <w:ind w:firstLine="709"/>
        <w:jc w:val="center"/>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Рисунок 1 – Наличие и потребность в зерне</w:t>
      </w:r>
    </w:p>
    <w:p w:rsidR="00E10334" w:rsidRPr="00E10334" w:rsidRDefault="00E10334" w:rsidP="00E10334">
      <w:pPr>
        <w:widowControl w:val="0"/>
        <w:spacing w:after="0" w:line="240" w:lineRule="auto"/>
        <w:ind w:firstLine="709"/>
        <w:jc w:val="center"/>
        <w:rPr>
          <w:rFonts w:ascii="Times New Roman" w:eastAsia="Times New Roman" w:hAnsi="Times New Roman" w:cs="Times New Roman"/>
          <w:sz w:val="28"/>
          <w:szCs w:val="28"/>
          <w:lang w:eastAsia="ru-RU"/>
        </w:rPr>
      </w:pP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Производство хлебобулочных изделий в 2016 году по данным ГУС ДНР составило 67 958 тонн, или 30 килограмм на одного человека в год.</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Но если из 100 кг норматива только 30 кг производят хлебопекарные предприятия, то 70 кг хлебобулочных изделий поставляет на рынок те предприятия, которые статистически не учитываются, и, возможно, являются предприятиями «теневого рынка». Это значит, что в осуществленном прогнозе участвуют все производителихлебобулочных изделий, причем две трети из них, хотя и включены в состав производителей, но управлять этими предприятиями практически невозможно.</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Анализ рынка муки пшеничной в ДНР показал, что 53% рынка занимают предприятия, которые производят муку для собственного потребления: для производства хлебобулочных, кондитерских и макаронных изделий, а также для реализации в торговых сетях. Эти предприятия имеют замкнутый цикл производства от выращивания зерна, переработки зерна в муку, и далее </w:t>
      </w:r>
      <w:r w:rsidRPr="00E10334">
        <w:rPr>
          <w:rFonts w:ascii="Times New Roman" w:eastAsia="TimesNewRoman" w:hAnsi="Times New Roman" w:cs="Times New Roman"/>
          <w:sz w:val="28"/>
          <w:szCs w:val="28"/>
          <w:lang w:eastAsia="ru-RU"/>
        </w:rPr>
        <w:t>–</w:t>
      </w:r>
      <w:r w:rsidRPr="00E10334">
        <w:rPr>
          <w:rFonts w:ascii="Times New Roman" w:eastAsia="Times New Roman" w:hAnsi="Times New Roman" w:cs="Times New Roman"/>
          <w:sz w:val="28"/>
          <w:szCs w:val="28"/>
          <w:lang w:eastAsia="ru-RU"/>
        </w:rPr>
        <w:t xml:space="preserve"> производство из муки хлебобулочных, кондитерских и макаронных изделий. Кроме того, данные холдинговые структуры имеют в своем составе фирменную торговую сеть.</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В настоящий момент мукомольные предприятия Донецкой Народной Республики обеспечивают пшеничной и ржаной мукой хлебопекарные и кондитерские предприятия в полном объеме. Необходимо принять во внимание, что при этом общий уровень загрузки производственных мощностей мельниц составляет 21-28%.</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Неполная загрузка производственных мощностей негативно влияет на хозяйственную деятельность мукомольных предприятий.</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xml:space="preserve">Важным показателем, характеризующим работу предприятий, является себестоимость продукции, работ и услуг. От ее уровня зависят финансовые результаты деятельности предприятий, темпы расширенного воспроизводства, финансовое состояние субъектов хозяйствования. Анализ </w:t>
      </w:r>
      <w:r w:rsidRPr="00E10334">
        <w:rPr>
          <w:rFonts w:ascii="Times New Roman" w:eastAsia="Times New Roman" w:hAnsi="Times New Roman" w:cs="Times New Roman"/>
          <w:sz w:val="28"/>
          <w:szCs w:val="28"/>
          <w:lang w:eastAsia="ru-RU"/>
        </w:rPr>
        <w:lastRenderedPageBreak/>
        <w:t>себестоимости продукции, работ и услуг имеет очень важное значение. Он позволяет выяснить тенденции изменения данного показателя, выполнения плана по его уровню, определить влияние факторов на его прирост, установить резервы и выработать корректирующие меры по использованию возможностей снижения себестоимости продукции. Неполная загрузка производственных мощностей приводит к увеличению себестоимости продукции за счет увеличения доли распределенных условно-постоянных затрат.</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Процесс мукомольного производства характеризуется высоким удельным весом материальных затрат. Анализ состава и структуры затрат на производство мукомольной продукции в 2016 году показывает, что наибольший удельный вес в структуре полной себестоимости продукции мукомольного производства занимает статья «Сырье и материалы» - 72% (рис.2).</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Повышение эффективности использования сырья и уменьшения затрат на основные материалы – главный источник снижения себестоимости продукции, поэтому важное значение в снижении себестоимости продукции имеет степень использования зерна, показателем которой является выход готовой продукции. На уровень выхода готовой продукции в мукомольном производстве оказывают влияние схема помола, качество работы оборудования мельницы, а также качество перерабатываемого зерна и его цена. Также немаловажным остается вопрос оценки отпущенного в переработку сырья и его остатков на конец периода.</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Наиболее рациональным является расчет средневзвешенной себестоимости для оценки зерна, которое передается в переработку, поскольку на примельничных элеваторах находится преимущественно зерно разного качества и по разной цене, что усложняет его хранение, учет и формирование помольной партии.</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Немаловажной особенностью мукомольного производства является государственное регулирование, в связи с чем менеджеры зерноперерабатывающих предприятий должны при калькулировании себестоимости учитывать основные требования законодательства.</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334" w:rsidRPr="00E10334" w:rsidRDefault="00E10334" w:rsidP="00E10334">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E10334">
        <w:rPr>
          <w:rFonts w:ascii="Times New Roman" w:eastAsia="Times New Roman" w:hAnsi="Times New Roman" w:cs="Times New Roman"/>
          <w:noProof/>
          <w:sz w:val="28"/>
          <w:lang w:eastAsia="ru-RU"/>
        </w:rPr>
        <w:lastRenderedPageBreak/>
        <w:drawing>
          <wp:inline distT="0" distB="0" distL="0" distR="0" wp14:anchorId="05F6FCD0" wp14:editId="6F4D75C0">
            <wp:extent cx="5962650" cy="3638550"/>
            <wp:effectExtent l="0" t="0" r="19050" b="190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10334" w:rsidRPr="00E10334" w:rsidRDefault="00E10334" w:rsidP="00E10334">
      <w:pPr>
        <w:widowControl w:val="0"/>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Рисунок 2 – Структура себестоимости муки пшеничной высшего сорта</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Система экономического и организационного воздействия на продовольственный рынок по своему содержанию должна включать формы и методы прямого и косвенного государственного регулирования, обеспечивать возможность самостоятельной производственно-коммерческой деятельности всех звеньев продовольственного комплекса, повышения их активности.</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Увеличение объемов производства муки требует расширение рынка сбыта готовой продукции, так как внутренний рынок насыщен продуктом. В связи с этим требуется разработка комплекса мероприятий по стимулированию процессов, связанных с экспортом готовой продукции / импортом сырьевой части, не производящейся на территории ДНР: проведение круглых столов, встреч с представителями отрасли (создание проектов отраслевых институций поддержки экспорта – партнерство законодательной власти и предпринимательских объединений/организаций).</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Для успешного достижения поставленных целей должны быть подготовлены меры правового обеспечения. На мукомольные предприятия должны быть распространены меры государственной поддержки, включая возможность получения кредитов на приобретение основного продовольственного сырья – зерна. Кроме того, необходима разработка законопроектов/нормативно-правовых актов, которые предусматривают механизмы:</w:t>
      </w:r>
    </w:p>
    <w:p w:rsidR="00E10334" w:rsidRPr="00E10334" w:rsidRDefault="00E10334" w:rsidP="00E10334">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1.</w:t>
      </w:r>
      <w:r w:rsidRPr="00E10334">
        <w:rPr>
          <w:rFonts w:ascii="Times New Roman" w:eastAsia="Times New Roman" w:hAnsi="Times New Roman" w:cs="Times New Roman"/>
          <w:sz w:val="28"/>
          <w:szCs w:val="28"/>
          <w:lang w:eastAsia="ru-RU"/>
        </w:rPr>
        <w:tab/>
        <w:t>Регулирования экспортно-импортных операций с сырьем зерновой группы и готовой продукцией;</w:t>
      </w:r>
    </w:p>
    <w:p w:rsidR="00E10334" w:rsidRPr="00E10334" w:rsidRDefault="00E10334" w:rsidP="00E10334">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2.</w:t>
      </w:r>
      <w:r w:rsidRPr="00E10334">
        <w:rPr>
          <w:rFonts w:ascii="Times New Roman" w:eastAsia="Times New Roman" w:hAnsi="Times New Roman" w:cs="Times New Roman"/>
          <w:sz w:val="28"/>
          <w:szCs w:val="28"/>
          <w:lang w:eastAsia="ru-RU"/>
        </w:rPr>
        <w:tab/>
        <w:t>Регулирования рынка зерна, и, как следствие, сырьевой составляющей для отрасли;</w:t>
      </w:r>
    </w:p>
    <w:p w:rsidR="00E10334" w:rsidRPr="00E10334" w:rsidRDefault="00E10334" w:rsidP="00E10334">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3.</w:t>
      </w:r>
      <w:r w:rsidRPr="00E10334">
        <w:rPr>
          <w:rFonts w:ascii="Times New Roman" w:eastAsia="Times New Roman" w:hAnsi="Times New Roman" w:cs="Times New Roman"/>
          <w:sz w:val="28"/>
          <w:szCs w:val="28"/>
          <w:lang w:eastAsia="ru-RU"/>
        </w:rPr>
        <w:tab/>
        <w:t>Обязательного декларирования зерна субъектами хранения;</w:t>
      </w:r>
    </w:p>
    <w:p w:rsidR="00E10334" w:rsidRPr="00E10334" w:rsidRDefault="00E10334" w:rsidP="00E10334">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lastRenderedPageBreak/>
        <w:t>4.</w:t>
      </w:r>
      <w:r w:rsidRPr="00E10334">
        <w:rPr>
          <w:rFonts w:ascii="Times New Roman" w:eastAsia="Times New Roman" w:hAnsi="Times New Roman" w:cs="Times New Roman"/>
          <w:sz w:val="28"/>
          <w:szCs w:val="28"/>
          <w:lang w:eastAsia="ru-RU"/>
        </w:rPr>
        <w:tab/>
        <w:t>Разработки перечня стандартов, содержащих правила, методы и нормы использования пищевых продуктов.</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Республиканские органы управления в интересах продовольственной безопасности ДНР принимают меры:</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1. Защитного, протекционистского характера в случаях, когда насыщение рынка муки может обеспечиваться за счет отечественного производства, или импорт приводит к ухудшению состояния его отраслей, снижению доходности сельскохозяйственных товаропроизводителей;</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2. По стимулированию экспорта сельскохозяйственных продукции, сырья и продовольствия, если это не нарушает стабильности внутреннего рынка. Защитные меры принимаются в форме количественных ограничений или введения таможенных пошлин до такой степени и на такой срок, которые могут быть необходимы для устранения существенного ущерба или предотвращения угрозы его причинения.</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3. По установлению порядка и условий введения и применения пороговых цен на зерно. Пороговая цена рассчитывается на основе цен, сложившихся на внутреннем рынке ДНР на зерно и на муку всех сортов.</w:t>
      </w:r>
    </w:p>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b/>
          <w:sz w:val="28"/>
          <w:szCs w:val="28"/>
          <w:lang w:eastAsia="ru-RU"/>
        </w:rPr>
        <w:t xml:space="preserve">Выводы. </w:t>
      </w:r>
      <w:r w:rsidRPr="00E10334">
        <w:rPr>
          <w:rFonts w:ascii="Times New Roman" w:eastAsia="Times New Roman" w:hAnsi="Times New Roman" w:cs="Times New Roman"/>
          <w:sz w:val="28"/>
          <w:szCs w:val="28"/>
          <w:lang w:eastAsia="ru-RU"/>
        </w:rPr>
        <w:t xml:space="preserve">Таким образом, для обеспечения продовольственной безопасности Республики и загрузки предприятий мукомольной промышленности требуется: сырьевое обеспечение; техническая модернизация отрасли; государственная поддержка в сбыте готовой продукции. Решение данных задач возможно за счет: </w:t>
      </w:r>
    </w:p>
    <w:p w:rsidR="00E10334" w:rsidRPr="00E10334" w:rsidRDefault="00E10334" w:rsidP="00E10334">
      <w:pPr>
        <w:widowControl w:val="0"/>
        <w:spacing w:after="0" w:line="240" w:lineRule="auto"/>
        <w:ind w:firstLine="567"/>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увеличения посевных площадей, их эффективного использования;</w:t>
      </w:r>
    </w:p>
    <w:p w:rsidR="00E10334" w:rsidRPr="00E10334" w:rsidRDefault="00E10334" w:rsidP="00E10334">
      <w:pPr>
        <w:widowControl w:val="0"/>
        <w:spacing w:after="0" w:line="240" w:lineRule="auto"/>
        <w:ind w:firstLine="567"/>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проведения мероприятий по «выводу из тени» производителей хлебобулочных изделий;</w:t>
      </w:r>
    </w:p>
    <w:p w:rsidR="00E10334" w:rsidRPr="00E10334" w:rsidRDefault="00E10334" w:rsidP="00E10334">
      <w:pPr>
        <w:widowControl w:val="0"/>
        <w:spacing w:after="0" w:line="240" w:lineRule="auto"/>
        <w:ind w:firstLine="567"/>
        <w:jc w:val="both"/>
        <w:rPr>
          <w:rFonts w:ascii="Times New Roman" w:eastAsia="Times New Roman" w:hAnsi="Times New Roman" w:cs="Times New Roman"/>
          <w:sz w:val="28"/>
          <w:szCs w:val="28"/>
          <w:lang w:eastAsia="ru-RU"/>
        </w:rPr>
      </w:pPr>
      <w:r w:rsidRPr="00E10334">
        <w:rPr>
          <w:rFonts w:ascii="Times New Roman" w:eastAsia="Times New Roman" w:hAnsi="Times New Roman" w:cs="Times New Roman"/>
          <w:sz w:val="28"/>
          <w:szCs w:val="28"/>
          <w:lang w:eastAsia="ru-RU"/>
        </w:rPr>
        <w:t>– заключения импортных контрактов поставки сырья и экспортных поставок готовой продукции.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078"/>
        <w:gridCol w:w="4602"/>
      </w:tblGrid>
      <w:tr w:rsidR="00E10334" w:rsidRPr="00E10334" w:rsidTr="00B2348C">
        <w:tc>
          <w:tcPr>
            <w:tcW w:w="4819" w:type="dxa"/>
            <w:gridSpan w:val="2"/>
          </w:tcPr>
          <w:p w:rsidR="00E10334" w:rsidRPr="00E10334" w:rsidRDefault="00E10334" w:rsidP="00E10334">
            <w:pPr>
              <w:widowControl w:val="0"/>
              <w:jc w:val="both"/>
              <w:rPr>
                <w:rFonts w:ascii="Times New Roman" w:hAnsi="Times New Roman"/>
                <w:sz w:val="28"/>
                <w:szCs w:val="28"/>
              </w:rPr>
            </w:pPr>
          </w:p>
        </w:tc>
        <w:tc>
          <w:tcPr>
            <w:tcW w:w="4820" w:type="dxa"/>
          </w:tcPr>
          <w:p w:rsidR="00E10334" w:rsidRPr="00E10334" w:rsidRDefault="00E10334" w:rsidP="00E10334">
            <w:pPr>
              <w:widowControl w:val="0"/>
              <w:jc w:val="both"/>
              <w:rPr>
                <w:rFonts w:ascii="Times New Roman" w:hAnsi="Times New Roman"/>
                <w:sz w:val="28"/>
                <w:szCs w:val="28"/>
              </w:rPr>
            </w:pPr>
          </w:p>
        </w:tc>
      </w:tr>
      <w:tr w:rsidR="00E10334" w:rsidRPr="00E10334" w:rsidTr="00B2348C">
        <w:tc>
          <w:tcPr>
            <w:tcW w:w="9639" w:type="dxa"/>
            <w:gridSpan w:val="3"/>
          </w:tcPr>
          <w:p w:rsidR="00E10334" w:rsidRPr="00E10334" w:rsidRDefault="00E10334" w:rsidP="00E10334">
            <w:pPr>
              <w:widowControl w:val="0"/>
              <w:jc w:val="center"/>
              <w:rPr>
                <w:rFonts w:ascii="Times New Roman" w:hAnsi="Times New Roman"/>
                <w:sz w:val="28"/>
                <w:szCs w:val="28"/>
              </w:rPr>
            </w:pPr>
            <w:r w:rsidRPr="00E10334">
              <w:rPr>
                <w:rFonts w:ascii="Times New Roman" w:hAnsi="Times New Roman"/>
                <w:b/>
                <w:sz w:val="28"/>
                <w:szCs w:val="28"/>
              </w:rPr>
              <w:t>Список литературы</w:t>
            </w:r>
          </w:p>
        </w:tc>
      </w:tr>
      <w:tr w:rsidR="00E10334" w:rsidRPr="00E10334" w:rsidTr="00B2348C">
        <w:tc>
          <w:tcPr>
            <w:tcW w:w="567" w:type="dxa"/>
          </w:tcPr>
          <w:p w:rsidR="00E10334" w:rsidRPr="00E10334" w:rsidRDefault="00E10334" w:rsidP="00E10334">
            <w:pPr>
              <w:widowControl w:val="0"/>
              <w:contextualSpacing/>
              <w:jc w:val="right"/>
              <w:rPr>
                <w:rFonts w:ascii="Times New Roman" w:hAnsi="Times New Roman"/>
                <w:sz w:val="24"/>
                <w:szCs w:val="24"/>
              </w:rPr>
            </w:pPr>
            <w:r w:rsidRPr="00E10334">
              <w:rPr>
                <w:rFonts w:ascii="Times New Roman" w:hAnsi="Times New Roman"/>
                <w:sz w:val="24"/>
                <w:szCs w:val="24"/>
              </w:rPr>
              <w:t>1.</w:t>
            </w:r>
          </w:p>
        </w:tc>
        <w:tc>
          <w:tcPr>
            <w:tcW w:w="9072" w:type="dxa"/>
            <w:gridSpan w:val="2"/>
          </w:tcPr>
          <w:p w:rsidR="00E10334" w:rsidRPr="00E10334" w:rsidRDefault="00E10334" w:rsidP="00E10334">
            <w:pPr>
              <w:widowControl w:val="0"/>
              <w:tabs>
                <w:tab w:val="left" w:pos="709"/>
                <w:tab w:val="left" w:pos="993"/>
              </w:tabs>
              <w:jc w:val="both"/>
              <w:rPr>
                <w:rFonts w:ascii="Times New Roman" w:hAnsi="Times New Roman"/>
                <w:sz w:val="24"/>
                <w:szCs w:val="24"/>
              </w:rPr>
            </w:pPr>
            <w:r w:rsidRPr="00E10334">
              <w:rPr>
                <w:rFonts w:ascii="Times New Roman" w:hAnsi="Times New Roman"/>
                <w:sz w:val="24"/>
                <w:szCs w:val="24"/>
              </w:rPr>
              <w:t>Медынский, В. Г. Инновационный менеджмент: учеб. для вузов / В. Г. Медынский. – М.: ИНФРА-М, 2009. – 295 с.</w:t>
            </w:r>
          </w:p>
        </w:tc>
      </w:tr>
      <w:tr w:rsidR="00E10334" w:rsidRPr="00E10334" w:rsidTr="00B2348C">
        <w:tc>
          <w:tcPr>
            <w:tcW w:w="567" w:type="dxa"/>
          </w:tcPr>
          <w:p w:rsidR="00E10334" w:rsidRPr="00E10334" w:rsidRDefault="00E10334" w:rsidP="00E10334">
            <w:pPr>
              <w:widowControl w:val="0"/>
              <w:contextualSpacing/>
              <w:jc w:val="right"/>
              <w:rPr>
                <w:rFonts w:ascii="Times New Roman" w:hAnsi="Times New Roman"/>
                <w:sz w:val="24"/>
                <w:szCs w:val="24"/>
              </w:rPr>
            </w:pPr>
            <w:r w:rsidRPr="00E10334">
              <w:rPr>
                <w:rFonts w:ascii="Times New Roman" w:hAnsi="Times New Roman"/>
                <w:sz w:val="24"/>
                <w:szCs w:val="24"/>
              </w:rPr>
              <w:t>2.</w:t>
            </w:r>
          </w:p>
        </w:tc>
        <w:tc>
          <w:tcPr>
            <w:tcW w:w="9072" w:type="dxa"/>
            <w:gridSpan w:val="2"/>
          </w:tcPr>
          <w:p w:rsidR="00E10334" w:rsidRPr="00E10334" w:rsidRDefault="00E10334" w:rsidP="00E10334">
            <w:pPr>
              <w:widowControl w:val="0"/>
              <w:tabs>
                <w:tab w:val="left" w:pos="709"/>
                <w:tab w:val="left" w:pos="993"/>
              </w:tabs>
              <w:jc w:val="both"/>
              <w:rPr>
                <w:rFonts w:ascii="Times New Roman" w:hAnsi="Times New Roman"/>
                <w:sz w:val="24"/>
                <w:szCs w:val="24"/>
              </w:rPr>
            </w:pPr>
            <w:r w:rsidRPr="00E10334">
              <w:rPr>
                <w:rFonts w:ascii="Times New Roman" w:hAnsi="Times New Roman"/>
                <w:sz w:val="24"/>
                <w:szCs w:val="24"/>
              </w:rPr>
              <w:t xml:space="preserve">Информационные технологии. – 2010. – Т. 8, № 2. – С. 54-64. </w:t>
            </w:r>
          </w:p>
        </w:tc>
      </w:tr>
      <w:tr w:rsidR="00E10334" w:rsidRPr="00E10334" w:rsidTr="00B2348C">
        <w:tc>
          <w:tcPr>
            <w:tcW w:w="567" w:type="dxa"/>
          </w:tcPr>
          <w:p w:rsidR="00E10334" w:rsidRPr="00E10334" w:rsidRDefault="00E10334" w:rsidP="00E10334">
            <w:pPr>
              <w:widowControl w:val="0"/>
              <w:contextualSpacing/>
              <w:jc w:val="right"/>
              <w:rPr>
                <w:rFonts w:ascii="Times New Roman" w:hAnsi="Times New Roman"/>
                <w:sz w:val="24"/>
                <w:szCs w:val="24"/>
              </w:rPr>
            </w:pPr>
            <w:r w:rsidRPr="00E10334">
              <w:rPr>
                <w:rFonts w:ascii="Times New Roman" w:hAnsi="Times New Roman"/>
                <w:sz w:val="24"/>
                <w:szCs w:val="24"/>
              </w:rPr>
              <w:t>3.</w:t>
            </w:r>
          </w:p>
        </w:tc>
        <w:tc>
          <w:tcPr>
            <w:tcW w:w="9072" w:type="dxa"/>
            <w:gridSpan w:val="2"/>
          </w:tcPr>
          <w:p w:rsidR="00E10334" w:rsidRPr="00E10334" w:rsidRDefault="00E10334" w:rsidP="00E10334">
            <w:pPr>
              <w:widowControl w:val="0"/>
              <w:tabs>
                <w:tab w:val="left" w:pos="0"/>
                <w:tab w:val="left" w:pos="993"/>
              </w:tabs>
              <w:jc w:val="both"/>
              <w:rPr>
                <w:rFonts w:ascii="Times New Roman" w:hAnsi="Times New Roman"/>
                <w:sz w:val="24"/>
                <w:szCs w:val="24"/>
              </w:rPr>
            </w:pPr>
            <w:r w:rsidRPr="00E10334">
              <w:rPr>
                <w:rFonts w:ascii="Times New Roman" w:hAnsi="Times New Roman"/>
                <w:sz w:val="24"/>
                <w:szCs w:val="24"/>
              </w:rPr>
              <w:t>Сельскохозяйственная энциклопедия: в 6 т. / [сост. Лобанов П.П.; ред. Мацкевич В.В.]. – Москва: Сов. Энциклопедия, 1974. – Т.5: Природа. – 1974. – 1120 с.</w:t>
            </w:r>
          </w:p>
        </w:tc>
      </w:tr>
      <w:tr w:rsidR="00E10334" w:rsidRPr="00E10334" w:rsidTr="00B2348C">
        <w:tc>
          <w:tcPr>
            <w:tcW w:w="567" w:type="dxa"/>
          </w:tcPr>
          <w:p w:rsidR="00E10334" w:rsidRPr="00E10334" w:rsidRDefault="00E10334" w:rsidP="00E10334">
            <w:pPr>
              <w:widowControl w:val="0"/>
              <w:contextualSpacing/>
              <w:jc w:val="right"/>
              <w:rPr>
                <w:rFonts w:ascii="Times New Roman" w:hAnsi="Times New Roman"/>
                <w:sz w:val="24"/>
                <w:szCs w:val="24"/>
              </w:rPr>
            </w:pPr>
            <w:r w:rsidRPr="00E10334">
              <w:rPr>
                <w:rFonts w:ascii="Times New Roman" w:hAnsi="Times New Roman"/>
                <w:sz w:val="24"/>
                <w:szCs w:val="24"/>
              </w:rPr>
              <w:t>4.</w:t>
            </w:r>
          </w:p>
        </w:tc>
        <w:tc>
          <w:tcPr>
            <w:tcW w:w="9072" w:type="dxa"/>
            <w:gridSpan w:val="2"/>
          </w:tcPr>
          <w:p w:rsidR="00E10334" w:rsidRPr="00E10334" w:rsidRDefault="00E10334" w:rsidP="00E10334">
            <w:pPr>
              <w:widowControl w:val="0"/>
              <w:tabs>
                <w:tab w:val="left" w:pos="0"/>
                <w:tab w:val="left" w:pos="993"/>
              </w:tabs>
              <w:jc w:val="both"/>
              <w:rPr>
                <w:rFonts w:ascii="Times New Roman" w:hAnsi="Times New Roman"/>
                <w:sz w:val="24"/>
                <w:szCs w:val="24"/>
              </w:rPr>
            </w:pPr>
            <w:r w:rsidRPr="00E10334">
              <w:rPr>
                <w:rFonts w:ascii="Times New Roman" w:hAnsi="Times New Roman"/>
                <w:sz w:val="24"/>
                <w:szCs w:val="24"/>
              </w:rPr>
              <w:t>Ермакова А. А. Анализ процесса планирования и калькулирования себестоимости мукомольного производства, Луганский национальный аграрный университет, Вестник ВГУ. серия: Экономика и управление. 2015. № 1.</w:t>
            </w:r>
          </w:p>
        </w:tc>
      </w:tr>
      <w:tr w:rsidR="00E10334" w:rsidRPr="00E10334" w:rsidTr="00B2348C">
        <w:tc>
          <w:tcPr>
            <w:tcW w:w="567" w:type="dxa"/>
          </w:tcPr>
          <w:p w:rsidR="00E10334" w:rsidRPr="00E10334" w:rsidRDefault="00E10334" w:rsidP="00E10334">
            <w:pPr>
              <w:widowControl w:val="0"/>
              <w:contextualSpacing/>
              <w:jc w:val="right"/>
              <w:rPr>
                <w:rFonts w:ascii="Times New Roman" w:hAnsi="Times New Roman"/>
                <w:sz w:val="24"/>
                <w:szCs w:val="24"/>
              </w:rPr>
            </w:pPr>
            <w:r w:rsidRPr="00E10334">
              <w:rPr>
                <w:rFonts w:ascii="Times New Roman" w:hAnsi="Times New Roman"/>
                <w:sz w:val="24"/>
                <w:szCs w:val="24"/>
              </w:rPr>
              <w:t>5.</w:t>
            </w:r>
          </w:p>
        </w:tc>
        <w:tc>
          <w:tcPr>
            <w:tcW w:w="9072" w:type="dxa"/>
            <w:gridSpan w:val="2"/>
          </w:tcPr>
          <w:p w:rsidR="00E10334" w:rsidRPr="00E10334" w:rsidRDefault="00E10334" w:rsidP="00E10334">
            <w:pPr>
              <w:widowControl w:val="0"/>
              <w:tabs>
                <w:tab w:val="left" w:pos="0"/>
                <w:tab w:val="left" w:pos="993"/>
              </w:tabs>
              <w:jc w:val="both"/>
              <w:rPr>
                <w:rFonts w:ascii="Times New Roman" w:hAnsi="Times New Roman"/>
                <w:sz w:val="24"/>
                <w:szCs w:val="24"/>
              </w:rPr>
            </w:pPr>
            <w:r w:rsidRPr="00E10334">
              <w:rPr>
                <w:rFonts w:ascii="Times New Roman" w:hAnsi="Times New Roman"/>
                <w:sz w:val="24"/>
                <w:szCs w:val="24"/>
              </w:rPr>
              <w:t>Онищенко К.Н. Прогноз потребности АР Крым в зерне для производства хлебобулочной продукции в 2015 году Ученые записки Таврического национального университета имени В.И. Вернадского. Серия «Экономика и управление». Том</w:t>
            </w:r>
            <w:r w:rsidRPr="00E10334">
              <w:rPr>
                <w:rFonts w:ascii="Times New Roman" w:hAnsi="Times New Roman"/>
                <w:sz w:val="24"/>
                <w:szCs w:val="24"/>
                <w:lang w:val="uk-UA"/>
              </w:rPr>
              <w:t> </w:t>
            </w:r>
            <w:r w:rsidRPr="00E10334">
              <w:rPr>
                <w:rFonts w:ascii="Times New Roman" w:hAnsi="Times New Roman"/>
                <w:sz w:val="24"/>
                <w:szCs w:val="24"/>
              </w:rPr>
              <w:t>24</w:t>
            </w:r>
            <w:r w:rsidRPr="00E10334">
              <w:rPr>
                <w:rFonts w:ascii="Times New Roman" w:hAnsi="Times New Roman"/>
                <w:sz w:val="24"/>
                <w:szCs w:val="24"/>
                <w:lang w:val="uk-UA"/>
              </w:rPr>
              <w:t> </w:t>
            </w:r>
            <w:r w:rsidRPr="00E10334">
              <w:rPr>
                <w:rFonts w:ascii="Times New Roman" w:hAnsi="Times New Roman"/>
                <w:sz w:val="24"/>
                <w:szCs w:val="24"/>
              </w:rPr>
              <w:t>(63). 2011 г. № 4. С. 220-224</w:t>
            </w:r>
          </w:p>
        </w:tc>
      </w:tr>
    </w:tbl>
    <w:p w:rsidR="00E10334" w:rsidRPr="00E10334" w:rsidRDefault="00E10334" w:rsidP="00E10334">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F42E3" w:rsidRDefault="000F42E3">
      <w:bookmarkStart w:id="4" w:name="_GoBack"/>
      <w:bookmarkEnd w:id="4"/>
    </w:p>
    <w:sectPr w:rsidR="000F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34"/>
    <w:rsid w:val="000F42E3"/>
    <w:rsid w:val="00E10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EF58-656C-43B6-B747-D068F3FF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33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41;&#1091;&#1083;&#1072;&#1090;\&#1056;&#1072;&#1073;&#1086;&#1095;&#1080;&#1081;%20&#1089;&#1090;&#1086;&#1083;\&#1053;&#1048;&#1056;&#1057;\c&#1077;&#1073;&#1077;&#108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Лист1!$C$4</c:f>
              <c:strCache>
                <c:ptCount val="1"/>
                <c:pt idx="0">
                  <c:v>Остаток,т</c:v>
                </c:pt>
              </c:strCache>
            </c:strRef>
          </c:tx>
          <c:invertIfNegative val="0"/>
          <c:dLbls>
            <c:dLbl>
              <c:idx val="0"/>
              <c:layout>
                <c:manualLayout>
                  <c:x val="-2.3774149325369608E-2"/>
                  <c:y val="-3.2258064516129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4B-418D-A86B-F1B531327D61}"/>
                </c:ext>
              </c:extLst>
            </c:dLbl>
            <c:dLbl>
              <c:idx val="1"/>
              <c:layout>
                <c:manualLayout>
                  <c:x val="0"/>
                  <c:y val="-1.4336917562723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4B-418D-A86B-F1B531327D61}"/>
                </c:ext>
              </c:extLst>
            </c:dLbl>
            <c:dLbl>
              <c:idx val="2"/>
              <c:layout>
                <c:manualLayout>
                  <c:x val="-1.7830611994027142E-2"/>
                  <c:y val="-2.150537634408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4B-418D-A86B-F1B531327D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Лист1!$B$5:$B$7</c:f>
              <c:strCache>
                <c:ptCount val="3"/>
                <c:pt idx="0">
                  <c:v>Пшеница 2 класса</c:v>
                </c:pt>
                <c:pt idx="1">
                  <c:v>Пшеница 3 класса</c:v>
                </c:pt>
                <c:pt idx="2">
                  <c:v>Рожь</c:v>
                </c:pt>
              </c:strCache>
            </c:strRef>
          </c:cat>
          <c:val>
            <c:numRef>
              <c:f>Лист1!$C$5:$C$7</c:f>
              <c:numCache>
                <c:formatCode>#,##0</c:formatCode>
                <c:ptCount val="3"/>
                <c:pt idx="0">
                  <c:v>16670</c:v>
                </c:pt>
                <c:pt idx="1">
                  <c:v>85282</c:v>
                </c:pt>
                <c:pt idx="2" formatCode="General">
                  <c:v>810</c:v>
                </c:pt>
              </c:numCache>
            </c:numRef>
          </c:val>
          <c:extLst>
            <c:ext xmlns:c16="http://schemas.microsoft.com/office/drawing/2014/chart" uri="{C3380CC4-5D6E-409C-BE32-E72D297353CC}">
              <c16:uniqueId val="{00000003-EB4B-418D-A86B-F1B531327D61}"/>
            </c:ext>
          </c:extLst>
        </c:ser>
        <c:ser>
          <c:idx val="1"/>
          <c:order val="1"/>
          <c:tx>
            <c:strRef>
              <c:f>Лист1!$D$4</c:f>
              <c:strCache>
                <c:ptCount val="1"/>
                <c:pt idx="0">
                  <c:v>Потребность,т</c:v>
                </c:pt>
              </c:strCache>
            </c:strRef>
          </c:tx>
          <c:invertIfNegative val="0"/>
          <c:dLbls>
            <c:dLbl>
              <c:idx val="0"/>
              <c:layout>
                <c:manualLayout>
                  <c:x val="5.8619731357109914E-3"/>
                  <c:y val="-1.7017578685017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4B-418D-A86B-F1B531327D61}"/>
                </c:ext>
              </c:extLst>
            </c:dLbl>
            <c:dLbl>
              <c:idx val="1"/>
              <c:layout>
                <c:manualLayout>
                  <c:x val="2.3529411764705879E-2"/>
                  <c:y val="-1.4005602240896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4B-418D-A86B-F1B531327D61}"/>
                </c:ext>
              </c:extLst>
            </c:dLbl>
            <c:dLbl>
              <c:idx val="2"/>
              <c:layout>
                <c:manualLayout>
                  <c:x val="0"/>
                  <c:y val="-7.04801605681642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4B-418D-A86B-F1B531327D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Лист1!$B$5:$B$7</c:f>
              <c:strCache>
                <c:ptCount val="3"/>
                <c:pt idx="0">
                  <c:v>Пшеница 2 класса</c:v>
                </c:pt>
                <c:pt idx="1">
                  <c:v>Пшеница 3 класса</c:v>
                </c:pt>
                <c:pt idx="2">
                  <c:v>Рожь</c:v>
                </c:pt>
              </c:strCache>
            </c:strRef>
          </c:cat>
          <c:val>
            <c:numRef>
              <c:f>Лист1!$D$5:$D$7</c:f>
              <c:numCache>
                <c:formatCode>#,##0</c:formatCode>
                <c:ptCount val="3"/>
                <c:pt idx="0">
                  <c:v>70850</c:v>
                </c:pt>
                <c:pt idx="1">
                  <c:v>106275</c:v>
                </c:pt>
                <c:pt idx="2">
                  <c:v>71122</c:v>
                </c:pt>
              </c:numCache>
            </c:numRef>
          </c:val>
          <c:extLst>
            <c:ext xmlns:c16="http://schemas.microsoft.com/office/drawing/2014/chart" uri="{C3380CC4-5D6E-409C-BE32-E72D297353CC}">
              <c16:uniqueId val="{00000007-EB4B-418D-A86B-F1B531327D61}"/>
            </c:ext>
          </c:extLst>
        </c:ser>
        <c:dLbls>
          <c:showLegendKey val="0"/>
          <c:showVal val="0"/>
          <c:showCatName val="0"/>
          <c:showSerName val="0"/>
          <c:showPercent val="0"/>
          <c:showBubbleSize val="0"/>
        </c:dLbls>
        <c:gapWidth val="150"/>
        <c:shape val="box"/>
        <c:axId val="173736320"/>
        <c:axId val="173737856"/>
        <c:axId val="171304256"/>
      </c:bar3DChart>
      <c:catAx>
        <c:axId val="173736320"/>
        <c:scaling>
          <c:orientation val="minMax"/>
        </c:scaling>
        <c:delete val="0"/>
        <c:axPos val="b"/>
        <c:numFmt formatCode="General" sourceLinked="0"/>
        <c:majorTickMark val="none"/>
        <c:minorTickMark val="none"/>
        <c:tickLblPos val="nextTo"/>
        <c:crossAx val="173737856"/>
        <c:crosses val="autoZero"/>
        <c:auto val="1"/>
        <c:lblAlgn val="ctr"/>
        <c:lblOffset val="100"/>
        <c:noMultiLvlLbl val="0"/>
      </c:catAx>
      <c:valAx>
        <c:axId val="173737856"/>
        <c:scaling>
          <c:orientation val="minMax"/>
        </c:scaling>
        <c:delete val="0"/>
        <c:axPos val="l"/>
        <c:majorGridlines/>
        <c:numFmt formatCode="#,##0" sourceLinked="1"/>
        <c:majorTickMark val="none"/>
        <c:minorTickMark val="none"/>
        <c:tickLblPos val="nextTo"/>
        <c:crossAx val="173736320"/>
        <c:crosses val="autoZero"/>
        <c:crossBetween val="between"/>
      </c:valAx>
      <c:serAx>
        <c:axId val="171304256"/>
        <c:scaling>
          <c:orientation val="minMax"/>
        </c:scaling>
        <c:delete val="0"/>
        <c:axPos val="b"/>
        <c:majorTickMark val="out"/>
        <c:minorTickMark val="none"/>
        <c:tickLblPos val="nextTo"/>
        <c:crossAx val="173737856"/>
        <c:crosses val="autoZero"/>
      </c:ser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Структура себестоимости муки в/с</a:t>
            </a:r>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
          <c:y val="0.47455514616492417"/>
          <c:w val="0.99805068226120852"/>
          <c:h val="0.48638128880937914"/>
        </c:manualLayout>
      </c:layout>
      <c:pie3DChart>
        <c:varyColors val="1"/>
        <c:ser>
          <c:idx val="0"/>
          <c:order val="0"/>
          <c:explosion val="8"/>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Лист2!$C$6:$C$13</c:f>
              <c:strCache>
                <c:ptCount val="8"/>
                <c:pt idx="0">
                  <c:v>Сырье и материалы</c:v>
                </c:pt>
                <c:pt idx="1">
                  <c:v>энергозатраты</c:v>
                </c:pt>
                <c:pt idx="2">
                  <c:v>Заработная плата основного производства</c:v>
                </c:pt>
                <c:pt idx="3">
                  <c:v>Амортизация</c:v>
                </c:pt>
                <c:pt idx="4">
                  <c:v>Затраты на обслуживание и текущий ремонт ОС</c:v>
                </c:pt>
                <c:pt idx="5">
                  <c:v>Общепроизводственные затраты</c:v>
                </c:pt>
                <c:pt idx="6">
                  <c:v>Административные затраты</c:v>
                </c:pt>
                <c:pt idx="7">
                  <c:v>Затраты на сбыт</c:v>
                </c:pt>
              </c:strCache>
            </c:strRef>
          </c:cat>
          <c:val>
            <c:numRef>
              <c:f>Лист2!$D$6:$D$13</c:f>
              <c:numCache>
                <c:formatCode>0.00</c:formatCode>
                <c:ptCount val="8"/>
                <c:pt idx="0">
                  <c:v>8957.9840709372711</c:v>
                </c:pt>
                <c:pt idx="1">
                  <c:v>469.34166510571055</c:v>
                </c:pt>
                <c:pt idx="2">
                  <c:v>437.06651950639144</c:v>
                </c:pt>
                <c:pt idx="3">
                  <c:v>110.23127903765355</c:v>
                </c:pt>
                <c:pt idx="4">
                  <c:v>160.53957520207172</c:v>
                </c:pt>
                <c:pt idx="5">
                  <c:v>1690.7382937476561</c:v>
                </c:pt>
                <c:pt idx="6">
                  <c:v>617.07555928041438</c:v>
                </c:pt>
                <c:pt idx="7">
                  <c:v>62.452132083839857</c:v>
                </c:pt>
              </c:numCache>
            </c:numRef>
          </c:val>
          <c:extLst>
            <c:ext xmlns:c16="http://schemas.microsoft.com/office/drawing/2014/chart" uri="{C3380CC4-5D6E-409C-BE32-E72D297353CC}">
              <c16:uniqueId val="{00000000-EEFF-4685-8000-8742F66B21F0}"/>
            </c:ext>
          </c:extLst>
        </c:ser>
        <c:dLbls>
          <c:showLegendKey val="0"/>
          <c:showVal val="0"/>
          <c:showCatName val="0"/>
          <c:showSerName val="0"/>
          <c:showPercent val="1"/>
          <c:showBubbleSize val="0"/>
          <c:showLeaderLines val="0"/>
        </c:dLbls>
      </c:pie3DChart>
    </c:plotArea>
    <c:legend>
      <c:legendPos val="t"/>
      <c:layout>
        <c:manualLayout>
          <c:xMode val="edge"/>
          <c:yMode val="edge"/>
          <c:x val="0"/>
          <c:y val="5.2419872694060475E-2"/>
          <c:w val="0.46346651113055493"/>
          <c:h val="0.42513231503077731"/>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2017-12-02T11:50:00Z</dcterms:created>
  <dcterms:modified xsi:type="dcterms:W3CDTF">2017-12-02T11:50:00Z</dcterms:modified>
</cp:coreProperties>
</file>