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E" w:rsidRPr="007E2ACE" w:rsidRDefault="007E2ACE" w:rsidP="007E2AC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УДК 330.59.332.14</w:t>
      </w:r>
    </w:p>
    <w:p w:rsidR="007D7741" w:rsidRPr="00D4110D" w:rsidRDefault="007D7741" w:rsidP="00D4110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4110D">
        <w:rPr>
          <w:rFonts w:ascii="Times New Roman" w:hAnsi="Times New Roman"/>
          <w:b/>
          <w:i/>
          <w:caps/>
          <w:sz w:val="28"/>
          <w:szCs w:val="28"/>
        </w:rPr>
        <w:t xml:space="preserve">Т.Б. </w:t>
      </w:r>
      <w:proofErr w:type="spellStart"/>
      <w:r w:rsidRPr="00D4110D">
        <w:rPr>
          <w:rFonts w:ascii="Times New Roman" w:hAnsi="Times New Roman"/>
          <w:b/>
          <w:i/>
          <w:caps/>
          <w:sz w:val="28"/>
          <w:szCs w:val="28"/>
        </w:rPr>
        <w:t>Н</w:t>
      </w:r>
      <w:r w:rsidRPr="00D4110D">
        <w:rPr>
          <w:rFonts w:ascii="Times New Roman" w:hAnsi="Times New Roman"/>
          <w:b/>
          <w:i/>
          <w:sz w:val="28"/>
          <w:szCs w:val="28"/>
        </w:rPr>
        <w:t>адтока</w:t>
      </w:r>
      <w:proofErr w:type="spellEnd"/>
    </w:p>
    <w:p w:rsidR="007D7741" w:rsidRDefault="007D7741" w:rsidP="00D4110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4110D">
        <w:rPr>
          <w:rFonts w:ascii="Times New Roman" w:hAnsi="Times New Roman"/>
          <w:b/>
          <w:i/>
          <w:sz w:val="28"/>
          <w:szCs w:val="28"/>
        </w:rPr>
        <w:t xml:space="preserve">А.А. </w:t>
      </w:r>
      <w:proofErr w:type="spellStart"/>
      <w:r w:rsidRPr="00D4110D">
        <w:rPr>
          <w:rFonts w:ascii="Times New Roman" w:hAnsi="Times New Roman"/>
          <w:b/>
          <w:i/>
          <w:sz w:val="28"/>
          <w:szCs w:val="28"/>
        </w:rPr>
        <w:t>Какунина</w:t>
      </w:r>
      <w:proofErr w:type="spellEnd"/>
    </w:p>
    <w:p w:rsidR="007D7741" w:rsidRDefault="007D7741" w:rsidP="00D411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4110D">
        <w:rPr>
          <w:rFonts w:ascii="Times New Roman" w:hAnsi="Times New Roman"/>
          <w:i/>
          <w:sz w:val="28"/>
          <w:szCs w:val="28"/>
        </w:rPr>
        <w:t>(Украина, Донецк)</w:t>
      </w:r>
    </w:p>
    <w:p w:rsidR="00503AD8" w:rsidRPr="00922B3B" w:rsidRDefault="00503AD8" w:rsidP="00D411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7741" w:rsidRDefault="007D7741" w:rsidP="00D4110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110D">
        <w:rPr>
          <w:rFonts w:ascii="Times New Roman" w:hAnsi="Times New Roman"/>
          <w:b/>
          <w:caps/>
          <w:sz w:val="28"/>
          <w:szCs w:val="28"/>
        </w:rPr>
        <w:t>Качество жизни населения как объект регионального и местного управления</w:t>
      </w:r>
    </w:p>
    <w:p w:rsidR="007D7741" w:rsidRPr="00D4110D" w:rsidRDefault="007D7741" w:rsidP="00D4110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D7741" w:rsidRDefault="007D7741" w:rsidP="00D41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10D">
        <w:rPr>
          <w:rFonts w:ascii="Times New Roman" w:hAnsi="Times New Roman"/>
          <w:sz w:val="28"/>
          <w:szCs w:val="28"/>
        </w:rPr>
        <w:t>Повышение качества и уровня жизни населения становится актуальной задачей современных цивилизованных государств, их главным стратегическим направлением развития.</w:t>
      </w:r>
      <w:r>
        <w:rPr>
          <w:rFonts w:ascii="Times New Roman" w:hAnsi="Times New Roman"/>
          <w:sz w:val="28"/>
          <w:szCs w:val="28"/>
        </w:rPr>
        <w:t xml:space="preserve"> По Индексу развития человеческого потенциала в 2013 году Украина заняла 83 место среди 187 стран. Поэтому данная задача  особо актуальна и для Украины. Ее  решению</w:t>
      </w:r>
      <w:r w:rsidRPr="00D4110D">
        <w:rPr>
          <w:rFonts w:ascii="Times New Roman" w:hAnsi="Times New Roman"/>
          <w:sz w:val="28"/>
          <w:szCs w:val="28"/>
        </w:rPr>
        <w:t xml:space="preserve"> в значительной мере способствовали международные инициативы, связанные с разработкой и реализацией Концепции устойчивого развития (</w:t>
      </w:r>
      <w:r>
        <w:rPr>
          <w:rFonts w:ascii="Times New Roman" w:hAnsi="Times New Roman"/>
          <w:sz w:val="28"/>
          <w:szCs w:val="28"/>
        </w:rPr>
        <w:t>Глобальный протокол, Цели тысяче</w:t>
      </w:r>
      <w:r w:rsidRPr="00D4110D">
        <w:rPr>
          <w:rFonts w:ascii="Times New Roman" w:hAnsi="Times New Roman"/>
          <w:sz w:val="28"/>
          <w:szCs w:val="28"/>
        </w:rPr>
        <w:t xml:space="preserve">летия, Киотский протокол, годовые отчеты по человеческому развитию стран – членов ООН и др.), которые явились отдельными механизмами мирового и государственного управления социально-экономическим развитием стран.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110D">
        <w:rPr>
          <w:rFonts w:ascii="Times New Roman" w:hAnsi="Times New Roman"/>
          <w:sz w:val="28"/>
          <w:szCs w:val="28"/>
        </w:rPr>
        <w:t>Однако практическое достижение цели повышения уровня и качества жизни населения требует использования категории «качество жизни» как объект</w:t>
      </w:r>
      <w:r>
        <w:rPr>
          <w:rFonts w:ascii="Times New Roman" w:hAnsi="Times New Roman"/>
          <w:sz w:val="28"/>
          <w:szCs w:val="28"/>
        </w:rPr>
        <w:t>а</w:t>
      </w:r>
      <w:r w:rsidRPr="00D4110D">
        <w:rPr>
          <w:rFonts w:ascii="Times New Roman" w:hAnsi="Times New Roman"/>
          <w:sz w:val="28"/>
          <w:szCs w:val="28"/>
        </w:rPr>
        <w:t xml:space="preserve"> управления на всех уровнях в стране, в том числе</w:t>
      </w:r>
      <w:r>
        <w:rPr>
          <w:rFonts w:ascii="Times New Roman" w:hAnsi="Times New Roman"/>
          <w:sz w:val="28"/>
          <w:szCs w:val="28"/>
        </w:rPr>
        <w:t>,</w:t>
      </w:r>
      <w:r w:rsidRPr="00D4110D">
        <w:rPr>
          <w:rFonts w:ascii="Times New Roman" w:hAnsi="Times New Roman"/>
          <w:sz w:val="28"/>
          <w:szCs w:val="28"/>
        </w:rPr>
        <w:t xml:space="preserve"> на уровне отдельных регионов и городов.</w:t>
      </w:r>
    </w:p>
    <w:p w:rsidR="007D7741" w:rsidRPr="00D4110D" w:rsidRDefault="007D7741" w:rsidP="00D41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10D">
        <w:rPr>
          <w:rFonts w:ascii="Times New Roman" w:hAnsi="Times New Roman"/>
          <w:sz w:val="28"/>
          <w:szCs w:val="28"/>
        </w:rPr>
        <w:t xml:space="preserve"> Поэтому целью исследования явилось обобщение научных трудов в области оценки уровня и качества жизни населения и разработка методических </w:t>
      </w:r>
      <w:proofErr w:type="gramStart"/>
      <w:r w:rsidRPr="00D4110D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10D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110D">
        <w:rPr>
          <w:rFonts w:ascii="Times New Roman" w:hAnsi="Times New Roman"/>
          <w:sz w:val="28"/>
          <w:szCs w:val="28"/>
        </w:rPr>
        <w:t xml:space="preserve"> качества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10D">
        <w:rPr>
          <w:rFonts w:ascii="Times New Roman" w:hAnsi="Times New Roman"/>
          <w:sz w:val="28"/>
          <w:szCs w:val="28"/>
        </w:rPr>
        <w:t xml:space="preserve"> населения отдельных</w:t>
      </w:r>
      <w:proofErr w:type="gramEnd"/>
      <w:r w:rsidRPr="00D4110D">
        <w:rPr>
          <w:rFonts w:ascii="Times New Roman" w:hAnsi="Times New Roman"/>
          <w:sz w:val="28"/>
          <w:szCs w:val="28"/>
        </w:rPr>
        <w:t xml:space="preserve"> городов, входящих в определенный регион (область)</w:t>
      </w:r>
      <w:r>
        <w:rPr>
          <w:rFonts w:ascii="Times New Roman" w:hAnsi="Times New Roman"/>
          <w:sz w:val="28"/>
          <w:szCs w:val="28"/>
        </w:rPr>
        <w:t>,</w:t>
      </w:r>
      <w:r w:rsidRPr="00D4110D">
        <w:rPr>
          <w:rFonts w:ascii="Times New Roman" w:hAnsi="Times New Roman"/>
          <w:sz w:val="28"/>
          <w:szCs w:val="28"/>
        </w:rPr>
        <w:t xml:space="preserve"> как объекта регионального и местного управления.</w:t>
      </w:r>
    </w:p>
    <w:p w:rsidR="007D7741" w:rsidRDefault="007D7741" w:rsidP="00D41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10D">
        <w:rPr>
          <w:rFonts w:ascii="Times New Roman" w:hAnsi="Times New Roman"/>
          <w:sz w:val="28"/>
          <w:szCs w:val="28"/>
        </w:rPr>
        <w:t>При управлении региона внедрение оценки качества жизни населения позволит оптимизировать областной и городские бюджеты, усовершенствовать разработку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1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110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110D">
        <w:rPr>
          <w:rFonts w:ascii="Times New Roman" w:hAnsi="Times New Roman"/>
          <w:sz w:val="28"/>
          <w:szCs w:val="28"/>
        </w:rPr>
        <w:t>за</w:t>
      </w:r>
      <w:proofErr w:type="gramEnd"/>
      <w:r w:rsidRPr="00D4110D">
        <w:rPr>
          <w:rFonts w:ascii="Times New Roman" w:hAnsi="Times New Roman"/>
          <w:sz w:val="28"/>
          <w:szCs w:val="28"/>
        </w:rPr>
        <w:t xml:space="preserve"> реализацией Программы социально-экономического развития региона, сделать рейтинговую оценку городов по главному социальному критерию. А городам данная методика позволит находить «узкие места» в управлении социальным развитием города и разрабатывать механизмы по их ликвидации.</w:t>
      </w:r>
    </w:p>
    <w:p w:rsidR="007D7741" w:rsidRDefault="007D7741" w:rsidP="00D41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уровня и качества жизни населения со второй половины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столетия явилась важнейшей научной проблемой, которую исследовали многие отеч</w:t>
      </w:r>
      <w:r w:rsidR="00FE5BF6">
        <w:rPr>
          <w:rFonts w:ascii="Times New Roman" w:hAnsi="Times New Roman"/>
          <w:sz w:val="28"/>
          <w:szCs w:val="28"/>
        </w:rPr>
        <w:t>ественные и зарубежные ученые (</w:t>
      </w:r>
      <w:proofErr w:type="spellStart"/>
      <w:r>
        <w:rPr>
          <w:rFonts w:ascii="Times New Roman" w:hAnsi="Times New Roman"/>
          <w:sz w:val="28"/>
          <w:szCs w:val="28"/>
        </w:rPr>
        <w:t>Либанова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Э.М., Абалкин Л.И., Васильев В.П.,  Гаврилова Т.В., Беляева Л.А., Лига М.Б., </w:t>
      </w:r>
      <w:proofErr w:type="spellStart"/>
      <w:r>
        <w:rPr>
          <w:rFonts w:ascii="Times New Roman" w:hAnsi="Times New Roman"/>
          <w:sz w:val="28"/>
          <w:szCs w:val="28"/>
        </w:rPr>
        <w:t>Субетто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Беккер Г. и др.)</w:t>
      </w:r>
    </w:p>
    <w:p w:rsidR="007D7741" w:rsidRDefault="007D7741" w:rsidP="00D41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исследованиях существует очень  много проблем, основными из которых являются:</w:t>
      </w:r>
    </w:p>
    <w:p w:rsidR="007D7741" w:rsidRDefault="007D7741" w:rsidP="00D41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сущность и взаимосвязь понятий «уровень» и «качество жизни»;</w:t>
      </w:r>
    </w:p>
    <w:p w:rsidR="007D7741" w:rsidRDefault="007D7741" w:rsidP="00967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уров</w:t>
      </w:r>
      <w:r w:rsidR="00FE5BF6">
        <w:rPr>
          <w:rFonts w:ascii="Times New Roman" w:hAnsi="Times New Roman"/>
          <w:sz w:val="28"/>
          <w:szCs w:val="28"/>
        </w:rPr>
        <w:t>ня исследования: микроуровень (</w:t>
      </w:r>
      <w:r>
        <w:rPr>
          <w:rFonts w:ascii="Times New Roman" w:hAnsi="Times New Roman"/>
          <w:sz w:val="28"/>
          <w:szCs w:val="28"/>
        </w:rPr>
        <w:t>индивиду</w:t>
      </w:r>
      <w:r w:rsidR="00FE5B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 </w:t>
      </w:r>
      <w:r w:rsidR="00FE5BF6">
        <w:rPr>
          <w:rFonts w:ascii="Times New Roman" w:hAnsi="Times New Roman"/>
          <w:sz w:val="28"/>
          <w:szCs w:val="28"/>
        </w:rPr>
        <w:t>и семья) и (или) макроуровень (</w:t>
      </w:r>
      <w:r w:rsidR="00340C35">
        <w:rPr>
          <w:rFonts w:ascii="Times New Roman" w:hAnsi="Times New Roman"/>
          <w:sz w:val="28"/>
          <w:szCs w:val="28"/>
        </w:rPr>
        <w:t>все население</w:t>
      </w:r>
      <w:r>
        <w:rPr>
          <w:rFonts w:ascii="Times New Roman" w:hAnsi="Times New Roman"/>
          <w:sz w:val="28"/>
          <w:szCs w:val="28"/>
        </w:rPr>
        <w:t>);</w:t>
      </w:r>
    </w:p>
    <w:p w:rsidR="007D7741" w:rsidRDefault="007D7741" w:rsidP="00967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выбор направлений (человек, природная среда, социальная сфера) и индикаторов, которые необходимо включить в предмет исследования уровня и качества жизни населения;</w:t>
      </w:r>
    </w:p>
    <w:p w:rsidR="007D7741" w:rsidRDefault="007D7741" w:rsidP="00D41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 для интегральной оценки качества жизни населения конкретных показателей по </w:t>
      </w:r>
      <w:proofErr w:type="gramStart"/>
      <w:r>
        <w:rPr>
          <w:rFonts w:ascii="Times New Roman" w:hAnsi="Times New Roman"/>
          <w:sz w:val="28"/>
          <w:szCs w:val="28"/>
        </w:rPr>
        <w:t>индикаторам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по сущности, так и по способу измерения;</w:t>
      </w:r>
    </w:p>
    <w:p w:rsidR="007D7741" w:rsidRDefault="007D7741" w:rsidP="00D41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-выбор метода свертки  </w:t>
      </w:r>
      <w:proofErr w:type="spellStart"/>
      <w:r>
        <w:rPr>
          <w:rFonts w:ascii="Times New Roman" w:hAnsi="Times New Roman"/>
          <w:sz w:val="28"/>
          <w:szCs w:val="28"/>
        </w:rPr>
        <w:t>разноизмеряемых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показателей, характеризующих отдельные стороны жизни людей.</w:t>
      </w:r>
    </w:p>
    <w:p w:rsidR="007D7741" w:rsidRDefault="007D7741" w:rsidP="00C24A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ученых пришли к ниже приведенным согласованным точкам  зрения.</w:t>
      </w:r>
    </w:p>
    <w:p w:rsidR="007D7741" w:rsidRDefault="007D7741" w:rsidP="00FE5B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Понятие «уровень жизни» является более узкой категорией по сравнению с «качеством жизни». Оно определяется условиями существования человека в сфере потребления и измеряется через систему социально-экономических показателей общего благосостояния людей (доходы, потребление продуктов, жилищные условия, услуги образования, здравоохранения и т.п.). «Качество жизни» включает в себя кроме «уровня жизни» состояние экологической среды проживания, социально-психологического благополучия, политического климата.</w:t>
      </w:r>
    </w:p>
    <w:p w:rsidR="007D7741" w:rsidRDefault="007D7741" w:rsidP="00FE5BF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Показатели, используемые при оценке уровня и качества жизни населения можно объединить в три группы </w:t>
      </w:r>
      <w:r w:rsidRPr="00D91612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:</w:t>
      </w:r>
    </w:p>
    <w:p w:rsidR="007D7741" w:rsidRDefault="007D7741" w:rsidP="00FE5B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стандарты (ожидаемая продолжительность жизни, грамотность населения, минимальный и максимальный реальный ВВП на душу населения и др.);</w:t>
      </w:r>
    </w:p>
    <w:p w:rsidR="007D7741" w:rsidRDefault="007D7741" w:rsidP="00FE5B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индексы, которые определяют отдельные параметры (индикаторы) качества жизни (Индекс экономики знаний, Индекс счастья, Индекс уровня человеческого развития </w:t>
      </w:r>
      <w:r w:rsidRPr="00D91612">
        <w:rPr>
          <w:rFonts w:ascii="Times New Roman" w:hAnsi="Times New Roman"/>
          <w:sz w:val="28"/>
          <w:szCs w:val="28"/>
        </w:rPr>
        <w:t>[2</w:t>
      </w:r>
      <w:r>
        <w:rPr>
          <w:rFonts w:ascii="Times New Roman" w:hAnsi="Times New Roman"/>
          <w:sz w:val="28"/>
          <w:szCs w:val="28"/>
        </w:rPr>
        <w:t>,</w:t>
      </w:r>
      <w:r w:rsidR="00340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8 и 9</w:t>
      </w:r>
      <w:r w:rsidRPr="00D9161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др.);</w:t>
      </w:r>
    </w:p>
    <w:p w:rsidR="007D7741" w:rsidRDefault="007D7741" w:rsidP="00FE5B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«знаковые предметы», которые подчеркивают определенный уровень жизни (например, телевизор с диагональю более </w:t>
      </w:r>
      <w:smartTag w:uri="urn:schemas-microsoft-com:office:smarttags" w:element="metricconverter">
        <w:smartTagPr>
          <w:attr w:name="ProductID" w:val="72 дюймов"/>
        </w:smartTagPr>
        <w:r>
          <w:rPr>
            <w:rFonts w:ascii="Times New Roman" w:hAnsi="Times New Roman"/>
            <w:sz w:val="28"/>
            <w:szCs w:val="28"/>
          </w:rPr>
          <w:t>72 дюймов</w:t>
        </w:r>
      </w:smartTag>
      <w:r>
        <w:rPr>
          <w:rFonts w:ascii="Times New Roman" w:hAnsi="Times New Roman"/>
          <w:sz w:val="28"/>
          <w:szCs w:val="28"/>
        </w:rPr>
        <w:t xml:space="preserve"> в шт. на 100 домохозяйств и др.).</w:t>
      </w:r>
    </w:p>
    <w:p w:rsidR="00340C35" w:rsidRDefault="007D7741" w:rsidP="00FE5BF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зависимости от метода измерения индикаторы и (или) показатели качества жизни разделяют на объективные, субъективные (на основе социологических исследований), интегральные (смешанные).</w:t>
      </w:r>
      <w:proofErr w:type="gramEnd"/>
    </w:p>
    <w:p w:rsidR="007D7741" w:rsidRDefault="007D7741" w:rsidP="00340C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</w:t>
      </w:r>
      <w:r w:rsidR="00340C35">
        <w:rPr>
          <w:rFonts w:ascii="Times New Roman" w:hAnsi="Times New Roman"/>
          <w:sz w:val="28"/>
          <w:szCs w:val="28"/>
        </w:rPr>
        <w:t>очтительными являются смешанные</w:t>
      </w:r>
      <w:r>
        <w:rPr>
          <w:rFonts w:ascii="Times New Roman" w:hAnsi="Times New Roman"/>
          <w:sz w:val="28"/>
          <w:szCs w:val="28"/>
        </w:rPr>
        <w:t>,</w:t>
      </w:r>
      <w:r w:rsidR="00340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причем включающие оценочные субъективные, отражающие отношение человека к реальной жизни.</w:t>
      </w:r>
      <w:proofErr w:type="gramEnd"/>
    </w:p>
    <w:p w:rsidR="007D7741" w:rsidRDefault="007D7741" w:rsidP="00FE5B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Ученые разных стран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международных организаций разработали различные методики оценки уровня и качества жизни населения, однако, они в большинстве случаев касаются уровня всей страны, причем  иногда отдельных сторон человеческой жизни.</w:t>
      </w:r>
    </w:p>
    <w:p w:rsidR="007D7741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Украине была разработана и используется для управления методика оценки уровня жизни населения регионов (областей) страны </w:t>
      </w:r>
      <w:r w:rsidRPr="00A72829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>, которая в отличие от методики ООН по оценке уровня человеческого развития является более детализированной (учитывает 9 направлений вместо 3 по мировой методике) и требует расчета 94 показателей по региону. Для практического использования качества жизни населения как объекта управления в конкретном регионе, на местном уровне необходима корректировка методики как в направлении упрощения, так и адаптации к местному статистическому учету социально-экономических показателей, что и было сделано в Донецком национальном техническом университете (г. Донецк) при разработке соответствующей методики оценки качества жизни населения городов определенного региона страны.</w:t>
      </w:r>
    </w:p>
    <w:p w:rsidR="007D7741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методики:</w:t>
      </w:r>
    </w:p>
    <w:p w:rsidR="007D7741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расчетный период – год;</w:t>
      </w:r>
    </w:p>
    <w:p w:rsidR="007D7741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частных показателей качества жизни населения ограничено десятью показателями. К ним относятся: среднемесячная номинальная заработная плата; объем реализованной продукции в городе; уровень безработицы; выбросы вредных веществ в атмосферу; предоставление населению субсидий; обеспеченность жильем; уровень травматизма; торговая площадь магазинов; количество дошкольных учреждений; темп роста населения;</w:t>
      </w:r>
    </w:p>
    <w:p w:rsidR="007D7741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каждый показатель измерен соответствующим индексом (стандартизован таксономическим показателем методом на основе </w:t>
      </w:r>
      <w:r>
        <w:rPr>
          <w:rFonts w:ascii="Times New Roman" w:hAnsi="Times New Roman"/>
          <w:sz w:val="28"/>
          <w:szCs w:val="28"/>
          <w:lang w:val="en-US"/>
        </w:rPr>
        <w:t>min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max</w:t>
      </w:r>
      <w:r>
        <w:rPr>
          <w:rFonts w:ascii="Times New Roman" w:hAnsi="Times New Roman"/>
          <w:sz w:val="28"/>
          <w:szCs w:val="28"/>
        </w:rPr>
        <w:t xml:space="preserve"> абсолютных значений данного пока</w:t>
      </w:r>
      <w:r w:rsidR="00FE5BF6">
        <w:rPr>
          <w:rFonts w:ascii="Times New Roman" w:hAnsi="Times New Roman"/>
          <w:sz w:val="28"/>
          <w:szCs w:val="28"/>
        </w:rPr>
        <w:t>зателя по всем городам области)</w:t>
      </w:r>
      <w:r>
        <w:rPr>
          <w:rFonts w:ascii="Times New Roman" w:hAnsi="Times New Roman"/>
          <w:sz w:val="28"/>
          <w:szCs w:val="28"/>
        </w:rPr>
        <w:t>;</w:t>
      </w:r>
    </w:p>
    <w:p w:rsidR="007D7741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абсолютное значение показателя представлено либо на одного жителя города либо долей среди населения города;</w:t>
      </w:r>
    </w:p>
    <w:p w:rsidR="007D7741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свертка показателей осуществлена с учетом весомости отдельных показателей, которые установ</w:t>
      </w:r>
      <w:r w:rsidR="00FE5BF6">
        <w:rPr>
          <w:rFonts w:ascii="Times New Roman" w:hAnsi="Times New Roman"/>
          <w:sz w:val="28"/>
          <w:szCs w:val="28"/>
        </w:rPr>
        <w:t>лены экспертным методом (</w:t>
      </w:r>
      <w:r>
        <w:rPr>
          <w:rFonts w:ascii="Times New Roman" w:hAnsi="Times New Roman"/>
          <w:sz w:val="28"/>
          <w:szCs w:val="28"/>
        </w:rPr>
        <w:t>методом расстановки приоритетов).</w:t>
      </w:r>
    </w:p>
    <w:p w:rsidR="007D7741" w:rsidRPr="00C84769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методика не противоречит ни мировой, ни украинской методикам, а дополняет их, так как при нормировании показателей происходит сопоставление не с международными стандартами, а с предельными </w:t>
      </w:r>
      <w:r w:rsidR="00FE5BF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max</w:t>
      </w:r>
      <w:r>
        <w:rPr>
          <w:rFonts w:ascii="Times New Roman" w:hAnsi="Times New Roman"/>
          <w:sz w:val="28"/>
          <w:szCs w:val="28"/>
        </w:rPr>
        <w:t>,</w:t>
      </w:r>
      <w:r w:rsidRPr="00C84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min</w:t>
      </w:r>
      <w:r>
        <w:rPr>
          <w:rFonts w:ascii="Times New Roman" w:hAnsi="Times New Roman"/>
          <w:sz w:val="28"/>
          <w:szCs w:val="28"/>
        </w:rPr>
        <w:t>) значениями рассматриваемого показателя по городам исследуемого региона.</w:t>
      </w:r>
    </w:p>
    <w:p w:rsidR="007D7741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методики была осуществлена на примере 28 городов Донецкой области Украины за период 2010-2012 гг.</w:t>
      </w:r>
    </w:p>
    <w:p w:rsidR="007D7741" w:rsidRDefault="007D7741" w:rsidP="00D26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741" w:rsidRDefault="007D7741" w:rsidP="00904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7D7741" w:rsidRDefault="007D7741" w:rsidP="00904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741" w:rsidRPr="002214DA" w:rsidRDefault="007D7741" w:rsidP="002214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0"/>
          <w:sz w:val="28"/>
          <w:szCs w:val="28"/>
        </w:rPr>
      </w:pPr>
      <w:r w:rsidRPr="002214DA">
        <w:rPr>
          <w:rFonts w:ascii="Times New Roman" w:hAnsi="Times New Roman"/>
          <w:spacing w:val="-20"/>
          <w:sz w:val="28"/>
          <w:szCs w:val="28"/>
          <w:lang w:val="uk-UA"/>
        </w:rPr>
        <w:t>Г</w:t>
      </w:r>
      <w:proofErr w:type="spellStart"/>
      <w:r w:rsidRPr="002214DA">
        <w:rPr>
          <w:rFonts w:ascii="Times New Roman" w:hAnsi="Times New Roman"/>
          <w:spacing w:val="-20"/>
          <w:sz w:val="28"/>
          <w:szCs w:val="28"/>
        </w:rPr>
        <w:t>ошовська</w:t>
      </w:r>
      <w:proofErr w:type="spellEnd"/>
      <w:r w:rsidRPr="002214D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214DA">
        <w:rPr>
          <w:rFonts w:ascii="Times New Roman" w:hAnsi="Times New Roman"/>
          <w:caps/>
          <w:spacing w:val="-20"/>
          <w:sz w:val="28"/>
          <w:szCs w:val="28"/>
        </w:rPr>
        <w:t>в.в.</w:t>
      </w:r>
      <w:r w:rsidRPr="002214D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214DA">
        <w:rPr>
          <w:rFonts w:ascii="Times New Roman" w:hAnsi="Times New Roman"/>
          <w:spacing w:val="-20"/>
          <w:sz w:val="28"/>
          <w:szCs w:val="28"/>
          <w:lang w:val="uk-UA"/>
        </w:rPr>
        <w:t>М</w:t>
      </w:r>
      <w:proofErr w:type="spellStart"/>
      <w:r w:rsidRPr="002214DA">
        <w:rPr>
          <w:rFonts w:ascii="Times New Roman" w:hAnsi="Times New Roman"/>
          <w:spacing w:val="-20"/>
          <w:sz w:val="28"/>
          <w:szCs w:val="28"/>
        </w:rPr>
        <w:t>акроекономічні</w:t>
      </w:r>
      <w:proofErr w:type="spellEnd"/>
      <w:r w:rsidRPr="002214DA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2214DA">
        <w:rPr>
          <w:rFonts w:ascii="Times New Roman" w:hAnsi="Times New Roman"/>
          <w:spacing w:val="-20"/>
          <w:sz w:val="28"/>
          <w:szCs w:val="28"/>
        </w:rPr>
        <w:t>показники</w:t>
      </w:r>
      <w:proofErr w:type="spellEnd"/>
      <w:r w:rsidRPr="002214DA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2214DA">
        <w:rPr>
          <w:rFonts w:ascii="Times New Roman" w:hAnsi="Times New Roman"/>
          <w:spacing w:val="-20"/>
          <w:sz w:val="28"/>
          <w:szCs w:val="28"/>
        </w:rPr>
        <w:t>оцінки</w:t>
      </w:r>
      <w:proofErr w:type="spellEnd"/>
      <w:r w:rsidRPr="002214DA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2214DA">
        <w:rPr>
          <w:rFonts w:ascii="Times New Roman" w:hAnsi="Times New Roman"/>
          <w:spacing w:val="-20"/>
          <w:sz w:val="28"/>
          <w:szCs w:val="28"/>
        </w:rPr>
        <w:t>якості</w:t>
      </w:r>
      <w:proofErr w:type="spellEnd"/>
      <w:r w:rsidRPr="002214DA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2214DA">
        <w:rPr>
          <w:rFonts w:ascii="Times New Roman" w:hAnsi="Times New Roman"/>
          <w:spacing w:val="-20"/>
          <w:sz w:val="28"/>
          <w:szCs w:val="28"/>
        </w:rPr>
        <w:t>життя</w:t>
      </w:r>
      <w:proofErr w:type="spellEnd"/>
      <w:r w:rsidRPr="002214DA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2214DA">
        <w:rPr>
          <w:rFonts w:ascii="Times New Roman" w:hAnsi="Times New Roman"/>
          <w:spacing w:val="-20"/>
          <w:sz w:val="28"/>
          <w:szCs w:val="28"/>
        </w:rPr>
        <w:t>населення</w:t>
      </w:r>
      <w:proofErr w:type="spellEnd"/>
      <w:r w:rsidRPr="002214DA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 w:rsidRPr="002214DA">
        <w:rPr>
          <w:rFonts w:ascii="Times New Roman" w:hAnsi="Times New Roman"/>
          <w:spacing w:val="-20"/>
          <w:sz w:val="28"/>
          <w:szCs w:val="28"/>
        </w:rPr>
        <w:t>України</w:t>
      </w:r>
      <w:proofErr w:type="spellEnd"/>
      <w:r w:rsidRPr="002214DA">
        <w:rPr>
          <w:rFonts w:ascii="Times New Roman" w:hAnsi="Times New Roman"/>
          <w:spacing w:val="-20"/>
          <w:sz w:val="28"/>
          <w:szCs w:val="28"/>
        </w:rPr>
        <w:t xml:space="preserve"> за </w:t>
      </w:r>
      <w:proofErr w:type="spellStart"/>
      <w:r w:rsidRPr="002214DA">
        <w:rPr>
          <w:rFonts w:ascii="Times New Roman" w:hAnsi="Times New Roman"/>
          <w:spacing w:val="-20"/>
          <w:sz w:val="28"/>
          <w:szCs w:val="28"/>
        </w:rPr>
        <w:t>міжнародними</w:t>
      </w:r>
      <w:proofErr w:type="spellEnd"/>
      <w:r w:rsidRPr="002214D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214DA">
        <w:rPr>
          <w:rFonts w:ascii="Times New Roman" w:hAnsi="Times New Roman"/>
          <w:spacing w:val="-20"/>
          <w:sz w:val="28"/>
          <w:szCs w:val="28"/>
          <w:lang w:val="uk-UA"/>
        </w:rPr>
        <w:t xml:space="preserve">методиками </w:t>
      </w:r>
      <w:r w:rsidRPr="002214DA">
        <w:rPr>
          <w:rFonts w:ascii="Times New Roman" w:hAnsi="Times New Roman"/>
          <w:spacing w:val="-20"/>
          <w:sz w:val="28"/>
          <w:szCs w:val="28"/>
        </w:rPr>
        <w:t>[</w:t>
      </w:r>
      <w:r w:rsidRPr="002214DA">
        <w:rPr>
          <w:rFonts w:ascii="Times New Roman" w:hAnsi="Times New Roman"/>
          <w:spacing w:val="-20"/>
          <w:sz w:val="28"/>
          <w:szCs w:val="28"/>
          <w:lang w:val="uk-UA"/>
        </w:rPr>
        <w:t>Електронний ресурс</w:t>
      </w:r>
      <w:r w:rsidRPr="002214DA">
        <w:rPr>
          <w:rFonts w:ascii="Times New Roman" w:hAnsi="Times New Roman"/>
          <w:spacing w:val="-20"/>
          <w:sz w:val="28"/>
          <w:szCs w:val="28"/>
        </w:rPr>
        <w:t>]</w:t>
      </w:r>
      <w:r w:rsidRPr="002214DA">
        <w:rPr>
          <w:rFonts w:ascii="Times New Roman" w:hAnsi="Times New Roman"/>
          <w:spacing w:val="-20"/>
          <w:sz w:val="28"/>
          <w:szCs w:val="28"/>
          <w:lang w:val="uk-UA"/>
        </w:rPr>
        <w:t>. – Режим доступу:</w:t>
      </w:r>
      <w:r w:rsidRPr="002214DA">
        <w:rPr>
          <w:spacing w:val="-20"/>
        </w:rPr>
        <w:t xml:space="preserve"> </w:t>
      </w:r>
      <w:hyperlink r:id="rId6" w:history="1">
        <w:r w:rsidRPr="00F8224C">
          <w:rPr>
            <w:rStyle w:val="a4"/>
            <w:rFonts w:ascii="Times New Roman" w:hAnsi="Times New Roman"/>
            <w:spacing w:val="-20"/>
            <w:sz w:val="28"/>
            <w:szCs w:val="28"/>
            <w:lang w:val="uk-UA"/>
          </w:rPr>
          <w:t>http://www.vmurol.com.ua/upload/publikatsii/nauka/Makroeconomichna%20otsinka%20yakosti%20zhittya.pdf</w:t>
        </w:r>
      </w:hyperlink>
    </w:p>
    <w:p w:rsidR="007D7741" w:rsidRDefault="007D7741" w:rsidP="002214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4D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-экономический потенциал устойчивого развития / Под ред. проф. Л.Г. Мельника (Украина) и проф. Л. </w:t>
      </w:r>
      <w:proofErr w:type="spellStart"/>
      <w:r>
        <w:rPr>
          <w:rFonts w:ascii="Times New Roman" w:hAnsi="Times New Roman"/>
          <w:sz w:val="28"/>
          <w:szCs w:val="28"/>
        </w:rPr>
        <w:t>Хенса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(Бельгия) – Сумы: ИТД «Университетская книга», 2008. – 1120 с.</w:t>
      </w:r>
    </w:p>
    <w:p w:rsidR="007D7741" w:rsidRPr="002214DA" w:rsidRDefault="007D7741" w:rsidP="002214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Людський розвиток регіонів України: методика оцінки і сучасний стан / Е.М.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Лібанова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Н.С. Власенко, О.С. Власюк та ін. – К.: Державний комітет статистики України, 2002.-110с.</w:t>
      </w:r>
    </w:p>
    <w:sectPr w:rsidR="007D7741" w:rsidRPr="002214DA" w:rsidSect="00D4110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BF7"/>
    <w:multiLevelType w:val="hybridMultilevel"/>
    <w:tmpl w:val="542EF4BC"/>
    <w:lvl w:ilvl="0" w:tplc="3BBA9CA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DA17C56"/>
    <w:multiLevelType w:val="hybridMultilevel"/>
    <w:tmpl w:val="57BC259C"/>
    <w:lvl w:ilvl="0" w:tplc="0BE22E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E9C349D"/>
    <w:multiLevelType w:val="hybridMultilevel"/>
    <w:tmpl w:val="7278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C9"/>
    <w:rsid w:val="00026D03"/>
    <w:rsid w:val="000E1BC3"/>
    <w:rsid w:val="00155CFB"/>
    <w:rsid w:val="00157292"/>
    <w:rsid w:val="001610C0"/>
    <w:rsid w:val="002214DA"/>
    <w:rsid w:val="002230C1"/>
    <w:rsid w:val="002310E9"/>
    <w:rsid w:val="002349F0"/>
    <w:rsid w:val="002C7103"/>
    <w:rsid w:val="00324BD2"/>
    <w:rsid w:val="00340C35"/>
    <w:rsid w:val="00341C58"/>
    <w:rsid w:val="00346E8B"/>
    <w:rsid w:val="0036211E"/>
    <w:rsid w:val="00395B33"/>
    <w:rsid w:val="003E196E"/>
    <w:rsid w:val="00427499"/>
    <w:rsid w:val="004B0488"/>
    <w:rsid w:val="004D5B0A"/>
    <w:rsid w:val="00503AD8"/>
    <w:rsid w:val="00505DBB"/>
    <w:rsid w:val="00511651"/>
    <w:rsid w:val="00545095"/>
    <w:rsid w:val="005536D6"/>
    <w:rsid w:val="005C634A"/>
    <w:rsid w:val="005E1CAE"/>
    <w:rsid w:val="00664F39"/>
    <w:rsid w:val="006B7A8F"/>
    <w:rsid w:val="00732196"/>
    <w:rsid w:val="007706B2"/>
    <w:rsid w:val="00786C68"/>
    <w:rsid w:val="007C213D"/>
    <w:rsid w:val="007D7741"/>
    <w:rsid w:val="007E2ACE"/>
    <w:rsid w:val="008C66FA"/>
    <w:rsid w:val="00903884"/>
    <w:rsid w:val="0090493E"/>
    <w:rsid w:val="00922B3B"/>
    <w:rsid w:val="00942A5E"/>
    <w:rsid w:val="00967C2B"/>
    <w:rsid w:val="009C3111"/>
    <w:rsid w:val="00A0312B"/>
    <w:rsid w:val="00A30FC9"/>
    <w:rsid w:val="00A72829"/>
    <w:rsid w:val="00A75B36"/>
    <w:rsid w:val="00A95301"/>
    <w:rsid w:val="00C24A5E"/>
    <w:rsid w:val="00C5566F"/>
    <w:rsid w:val="00C56594"/>
    <w:rsid w:val="00C84769"/>
    <w:rsid w:val="00D16776"/>
    <w:rsid w:val="00D263BA"/>
    <w:rsid w:val="00D37D1D"/>
    <w:rsid w:val="00D4110D"/>
    <w:rsid w:val="00D64893"/>
    <w:rsid w:val="00D75B98"/>
    <w:rsid w:val="00D856F1"/>
    <w:rsid w:val="00D91612"/>
    <w:rsid w:val="00DD1EC7"/>
    <w:rsid w:val="00DD59B3"/>
    <w:rsid w:val="00E41D38"/>
    <w:rsid w:val="00E5670D"/>
    <w:rsid w:val="00E9357A"/>
    <w:rsid w:val="00EA5CFD"/>
    <w:rsid w:val="00ED3C6E"/>
    <w:rsid w:val="00EF7A12"/>
    <w:rsid w:val="00F8224C"/>
    <w:rsid w:val="00F92C1B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EC7"/>
    <w:pPr>
      <w:ind w:left="720"/>
      <w:contextualSpacing/>
    </w:pPr>
  </w:style>
  <w:style w:type="character" w:styleId="a4">
    <w:name w:val="Hyperlink"/>
    <w:uiPriority w:val="99"/>
    <w:rsid w:val="002214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EC7"/>
    <w:pPr>
      <w:ind w:left="720"/>
      <w:contextualSpacing/>
    </w:pPr>
  </w:style>
  <w:style w:type="character" w:styleId="a4">
    <w:name w:val="Hyperlink"/>
    <w:uiPriority w:val="99"/>
    <w:rsid w:val="002214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urol.com.ua/upload/publikatsii/nauka/Makroeconomichna%20otsinka%20yakosti%20zhitt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2015-08-09T18:22:00Z</dcterms:created>
  <dcterms:modified xsi:type="dcterms:W3CDTF">2015-08-09T18:22:00Z</dcterms:modified>
</cp:coreProperties>
</file>